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257A3">
      <w:pPr>
        <w:rPr>
          <w:rFonts w:eastAsia="仿宋_GB2312"/>
          <w:color w:val="000000" w:themeColor="text1"/>
          <w:sz w:val="84"/>
          <w:highlight w:val="none"/>
          <w14:textFill>
            <w14:solidFill>
              <w14:schemeClr w14:val="tx1"/>
            </w14:solidFill>
          </w14:textFill>
        </w:rPr>
      </w:pPr>
    </w:p>
    <w:p w14:paraId="75C8CCC5">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 xml:space="preserve"> 天津市人民检察院检察工作网及减刑假释信息化办案平台密评改造项目</w:t>
      </w:r>
    </w:p>
    <w:p w14:paraId="3364A97D">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323215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5.5pt;margin-top:25.45pt;height:0pt;width:150.75pt;z-index:251659264;mso-width-relative:page;mso-height-relative:page;" filled="f" stroked="t" coordsize="21600,21600" o:gfxdata="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Q+nQ1QAA&#10;AAg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14:paraId="37C6E712">
      <w:pPr>
        <w:ind w:right="1025"/>
        <w:jc w:val="center"/>
        <w:rPr>
          <w:rFonts w:eastAsia="黑体"/>
          <w:b/>
          <w:color w:val="000000" w:themeColor="text1"/>
          <w:spacing w:val="40"/>
          <w:w w:val="66"/>
          <w:sz w:val="60"/>
          <w:szCs w:val="60"/>
          <w:highlight w:val="none"/>
          <w14:textFill>
            <w14:solidFill>
              <w14:schemeClr w14:val="tx1"/>
            </w14:solidFill>
          </w14:textFill>
        </w:rPr>
      </w:pPr>
    </w:p>
    <w:p w14:paraId="649B5C07">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3726651D">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TGPC-2024-A-0148</w:t>
      </w:r>
      <w:r>
        <w:rPr>
          <w:rFonts w:eastAsia="黑体"/>
          <w:color w:val="000000" w:themeColor="text1"/>
          <w:spacing w:val="40"/>
          <w:w w:val="66"/>
          <w:sz w:val="32"/>
          <w:szCs w:val="32"/>
          <w:highlight w:val="none"/>
          <w14:textFill>
            <w14:solidFill>
              <w14:schemeClr w14:val="tx1"/>
            </w14:solidFill>
          </w14:textFill>
        </w:rPr>
        <w:t>）</w:t>
      </w:r>
    </w:p>
    <w:p w14:paraId="5701EAF1">
      <w:pPr>
        <w:rPr>
          <w:color w:val="000000" w:themeColor="text1"/>
          <w:sz w:val="40"/>
          <w:highlight w:val="none"/>
          <w14:textFill>
            <w14:solidFill>
              <w14:schemeClr w14:val="tx1"/>
            </w14:solidFill>
          </w14:textFill>
        </w:rPr>
      </w:pPr>
    </w:p>
    <w:p w14:paraId="7F9EFE7B">
      <w:pPr>
        <w:rPr>
          <w:color w:val="000000" w:themeColor="text1"/>
          <w:sz w:val="36"/>
          <w:highlight w:val="none"/>
          <w14:textFill>
            <w14:solidFill>
              <w14:schemeClr w14:val="tx1"/>
            </w14:solidFill>
          </w14:textFill>
        </w:rPr>
      </w:pPr>
    </w:p>
    <w:p w14:paraId="1195BA35">
      <w:pPr>
        <w:rPr>
          <w:color w:val="000000" w:themeColor="text1"/>
          <w:sz w:val="36"/>
          <w:highlight w:val="none"/>
          <w14:textFill>
            <w14:solidFill>
              <w14:schemeClr w14:val="tx1"/>
            </w14:solidFill>
          </w14:textFill>
        </w:rPr>
      </w:pPr>
    </w:p>
    <w:p w14:paraId="3815511B">
      <w:pPr>
        <w:rPr>
          <w:color w:val="000000" w:themeColor="text1"/>
          <w:sz w:val="36"/>
          <w:highlight w:val="none"/>
          <w14:textFill>
            <w14:solidFill>
              <w14:schemeClr w14:val="tx1"/>
            </w14:solidFill>
          </w14:textFill>
        </w:rPr>
      </w:pPr>
    </w:p>
    <w:p w14:paraId="24D54816">
      <w:pPr>
        <w:rPr>
          <w:color w:val="000000" w:themeColor="text1"/>
          <w:sz w:val="36"/>
          <w:highlight w:val="none"/>
          <w14:textFill>
            <w14:solidFill>
              <w14:schemeClr w14:val="tx1"/>
            </w14:solidFill>
          </w14:textFill>
        </w:rPr>
      </w:pPr>
    </w:p>
    <w:p w14:paraId="253B2E37">
      <w:pPr>
        <w:rPr>
          <w:color w:val="000000" w:themeColor="text1"/>
          <w:sz w:val="36"/>
          <w:highlight w:val="none"/>
          <w14:textFill>
            <w14:solidFill>
              <w14:schemeClr w14:val="tx1"/>
            </w14:solidFill>
          </w14:textFill>
        </w:rPr>
      </w:pPr>
    </w:p>
    <w:p w14:paraId="6A68ACA0">
      <w:pPr>
        <w:rPr>
          <w:color w:val="000000" w:themeColor="text1"/>
          <w:sz w:val="36"/>
          <w:highlight w:val="none"/>
          <w14:textFill>
            <w14:solidFill>
              <w14:schemeClr w14:val="tx1"/>
            </w14:solidFill>
          </w14:textFill>
        </w:rPr>
      </w:pPr>
    </w:p>
    <w:p w14:paraId="4CB35C40">
      <w:pPr>
        <w:rPr>
          <w:color w:val="000000" w:themeColor="text1"/>
          <w:sz w:val="36"/>
          <w:highlight w:val="none"/>
          <w14:textFill>
            <w14:solidFill>
              <w14:schemeClr w14:val="tx1"/>
            </w14:solidFill>
          </w14:textFill>
        </w:rPr>
      </w:pPr>
    </w:p>
    <w:p w14:paraId="17E6F332">
      <w:pPr>
        <w:rPr>
          <w:color w:val="000000" w:themeColor="text1"/>
          <w:sz w:val="36"/>
          <w:highlight w:val="none"/>
          <w14:textFill>
            <w14:solidFill>
              <w14:schemeClr w14:val="tx1"/>
            </w14:solidFill>
          </w14:textFill>
        </w:rPr>
      </w:pPr>
    </w:p>
    <w:p w14:paraId="120C86E1">
      <w:pPr>
        <w:rPr>
          <w:color w:val="000000" w:themeColor="text1"/>
          <w:sz w:val="36"/>
          <w:highlight w:val="none"/>
          <w14:textFill>
            <w14:solidFill>
              <w14:schemeClr w14:val="tx1"/>
            </w14:solidFill>
          </w14:textFill>
        </w:rPr>
      </w:pPr>
    </w:p>
    <w:p w14:paraId="059F24AF">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454EF0DE">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14:textFill>
            <w14:solidFill>
              <w14:schemeClr w14:val="tx1"/>
            </w14:solidFill>
          </w14:textFill>
        </w:rPr>
        <w:t>.7</w:t>
      </w:r>
    </w:p>
    <w:p w14:paraId="007B3D55">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14:paraId="0B263FFF">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titlePg/>
          <w:docGrid w:type="linesAndChars" w:linePitch="286" w:charSpace="-3449"/>
        </w:sectPr>
      </w:pPr>
    </w:p>
    <w:p w14:paraId="1ADDBD0F">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14:paraId="47AAB91C">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7B8C4265">
      <w:pPr>
        <w:pStyle w:val="1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第一部分  磋商邀请函</w:t>
      </w:r>
    </w:p>
    <w:p w14:paraId="4EDC0F55">
      <w:pPr>
        <w:rPr>
          <w:color w:val="000000" w:themeColor="text1"/>
          <w:highlight w:val="none"/>
          <w14:textFill>
            <w14:solidFill>
              <w14:schemeClr w14:val="tx1"/>
            </w14:solidFill>
          </w14:textFill>
        </w:rPr>
      </w:pPr>
    </w:p>
    <w:p w14:paraId="6B45066B">
      <w:pPr>
        <w:pStyle w:val="1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第二部分  磋商项目要求</w:t>
      </w:r>
    </w:p>
    <w:p w14:paraId="52142F35">
      <w:pPr>
        <w:rPr>
          <w:color w:val="000000" w:themeColor="text1"/>
          <w:highlight w:val="none"/>
          <w14:textFill>
            <w14:solidFill>
              <w14:schemeClr w14:val="tx1"/>
            </w14:solidFill>
          </w14:textFill>
        </w:rPr>
      </w:pPr>
    </w:p>
    <w:p w14:paraId="6B63D34D">
      <w:pPr>
        <w:pStyle w:val="1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第三部分  供应商须知</w:t>
      </w:r>
    </w:p>
    <w:p w14:paraId="6FAE2303">
      <w:pPr>
        <w:rPr>
          <w:color w:val="000000" w:themeColor="text1"/>
          <w:highlight w:val="none"/>
          <w14:textFill>
            <w14:solidFill>
              <w14:schemeClr w14:val="tx1"/>
            </w14:solidFill>
          </w14:textFill>
        </w:rPr>
      </w:pPr>
    </w:p>
    <w:p w14:paraId="0682159E">
      <w:pPr>
        <w:pStyle w:val="1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第四部分  合同草案</w:t>
      </w:r>
    </w:p>
    <w:p w14:paraId="4783F4B0">
      <w:pPr>
        <w:rPr>
          <w:color w:val="000000" w:themeColor="text1"/>
          <w:highlight w:val="none"/>
          <w14:textFill>
            <w14:solidFill>
              <w14:schemeClr w14:val="tx1"/>
            </w14:solidFill>
          </w14:textFill>
        </w:rPr>
      </w:pPr>
    </w:p>
    <w:p w14:paraId="2C4ED6CF">
      <w:pPr>
        <w:pStyle w:val="1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第五部分  响应文件格式</w:t>
      </w:r>
    </w:p>
    <w:p w14:paraId="679398FD">
      <w:pPr>
        <w:rPr>
          <w:color w:val="000000" w:themeColor="text1"/>
          <w:highlight w:val="none"/>
          <w14:textFill>
            <w14:solidFill>
              <w14:schemeClr w14:val="tx1"/>
            </w14:solidFill>
          </w14:textFill>
        </w:rPr>
      </w:pPr>
    </w:p>
    <w:p w14:paraId="2461214A">
      <w:pPr>
        <w:rPr>
          <w:color w:val="000000" w:themeColor="text1"/>
          <w:highlight w:val="none"/>
          <w14:textFill>
            <w14:solidFill>
              <w14:schemeClr w14:val="tx1"/>
            </w14:solidFill>
          </w14:textFill>
        </w:rPr>
      </w:pPr>
    </w:p>
    <w:p w14:paraId="3D46E5A1">
      <w:pPr>
        <w:rPr>
          <w:color w:val="000000" w:themeColor="text1"/>
          <w:highlight w:val="none"/>
          <w14:textFill>
            <w14:solidFill>
              <w14:schemeClr w14:val="tx1"/>
            </w14:solidFill>
          </w14:textFill>
        </w:rPr>
      </w:pPr>
    </w:p>
    <w:p w14:paraId="63E431D8">
      <w:pPr>
        <w:rPr>
          <w:color w:val="000000" w:themeColor="text1"/>
          <w:highlight w:val="none"/>
          <w14:textFill>
            <w14:solidFill>
              <w14:schemeClr w14:val="tx1"/>
            </w14:solidFill>
          </w14:textFill>
        </w:rPr>
      </w:pPr>
    </w:p>
    <w:p w14:paraId="44591BF0">
      <w:pPr>
        <w:rPr>
          <w:color w:val="000000" w:themeColor="text1"/>
          <w:highlight w:val="none"/>
          <w14:textFill>
            <w14:solidFill>
              <w14:schemeClr w14:val="tx1"/>
            </w14:solidFill>
          </w14:textFill>
        </w:rPr>
      </w:pPr>
    </w:p>
    <w:p w14:paraId="29919251">
      <w:pPr>
        <w:rPr>
          <w:color w:val="000000" w:themeColor="text1"/>
          <w:highlight w:val="none"/>
          <w14:textFill>
            <w14:solidFill>
              <w14:schemeClr w14:val="tx1"/>
            </w14:solidFill>
          </w14:textFill>
        </w:rPr>
      </w:pPr>
    </w:p>
    <w:p w14:paraId="7DA84FA3">
      <w:pPr>
        <w:rPr>
          <w:color w:val="000000" w:themeColor="text1"/>
          <w:highlight w:val="none"/>
          <w14:textFill>
            <w14:solidFill>
              <w14:schemeClr w14:val="tx1"/>
            </w14:solidFill>
          </w14:textFill>
        </w:rPr>
        <w:sectPr>
          <w:pgSz w:w="11906" w:h="16838"/>
          <w:pgMar w:top="1440" w:right="1797" w:bottom="1440" w:left="1797" w:header="851" w:footer="992" w:gutter="0"/>
          <w:cols w:space="720" w:num="1"/>
          <w:titlePg/>
          <w:docGrid w:type="linesAndChars" w:linePitch="286" w:charSpace="-3449"/>
        </w:sectPr>
      </w:pPr>
    </w:p>
    <w:p w14:paraId="3033AB61">
      <w:pPr>
        <w:pStyle w:val="14"/>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14:paraId="49427EA1">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eastAsia="宋体" w:cs="Times New Roman"/>
          <w:color w:val="000000" w:themeColor="text1"/>
          <w:szCs w:val="32"/>
          <w:highlight w:val="none"/>
          <w14:textFill>
            <w14:solidFill>
              <w14:schemeClr w14:val="tx1"/>
            </w14:solidFill>
          </w14:textFill>
        </w:rPr>
        <w:t>天津市人民检察院</w:t>
      </w:r>
      <w:r>
        <w:rPr>
          <w:rFonts w:ascii="Times New Roman" w:hAnsi="Times New Roman" w:eastAsia="宋体" w:cs="Times New Roman"/>
          <w:color w:val="000000" w:themeColor="text1"/>
          <w:kern w:val="2"/>
          <w:highlight w:val="none"/>
          <w14:textFill>
            <w14:solidFill>
              <w14:schemeClr w14:val="tx1"/>
            </w14:solidFill>
          </w14:textFill>
        </w:rPr>
        <w:t>委托，</w:t>
      </w:r>
      <w:r>
        <w:rPr>
          <w:rFonts w:hint="eastAsia" w:ascii="Times New Roman" w:hAnsi="Times New Roman" w:eastAsia="宋体" w:cs="Times New Roman"/>
          <w:color w:val="000000" w:themeColor="text1"/>
          <w:kern w:val="2"/>
          <w:highlight w:val="none"/>
          <w14:textFill>
            <w14:solidFill>
              <w14:schemeClr w14:val="tx1"/>
            </w14:solidFill>
          </w14:textFill>
        </w:rPr>
        <w:t>天津市政府采购中心</w:t>
      </w:r>
      <w:r>
        <w:rPr>
          <w:rFonts w:ascii="Times New Roman" w:hAnsi="Times New Roman" w:eastAsia="宋体" w:cs="Times New Roman"/>
          <w:color w:val="000000" w:themeColor="text1"/>
          <w:kern w:val="2"/>
          <w:highlight w:val="none"/>
          <w14:textFill>
            <w14:solidFill>
              <w14:schemeClr w14:val="tx1"/>
            </w14:solidFill>
          </w14:textFill>
        </w:rPr>
        <w:t>将以竞争性磋商方式</w:t>
      </w:r>
      <w:r>
        <w:rPr>
          <w:rFonts w:hint="eastAsia" w:ascii="Times New Roman" w:hAnsi="Times New Roman" w:eastAsia="宋体" w:cs="Times New Roman"/>
          <w:color w:val="000000" w:themeColor="text1"/>
          <w:kern w:val="2"/>
          <w:highlight w:val="none"/>
          <w14:textFill>
            <w14:solidFill>
              <w14:schemeClr w14:val="tx1"/>
            </w14:solidFill>
          </w14:textFill>
        </w:rPr>
        <w:t>，</w:t>
      </w:r>
      <w:r>
        <w:rPr>
          <w:rFonts w:ascii="Times New Roman" w:hAnsi="Times New Roman" w:eastAsia="宋体" w:cs="Times New Roman"/>
          <w:color w:val="000000" w:themeColor="text1"/>
          <w:kern w:val="2"/>
          <w:highlight w:val="none"/>
          <w14:textFill>
            <w14:solidFill>
              <w14:schemeClr w14:val="tx1"/>
            </w14:solidFill>
          </w14:textFill>
        </w:rPr>
        <w:t>对</w:t>
      </w:r>
      <w:r>
        <w:rPr>
          <w:rFonts w:hint="eastAsia" w:ascii="Times New Roman" w:hAnsi="Times New Roman" w:eastAsia="宋体" w:cs="Times New Roman"/>
          <w:color w:val="000000" w:themeColor="text1"/>
          <w:kern w:val="2"/>
          <w:highlight w:val="none"/>
          <w14:textFill>
            <w14:solidFill>
              <w14:schemeClr w14:val="tx1"/>
            </w14:solidFill>
          </w14:textFill>
        </w:rPr>
        <w:t xml:space="preserve">   </w:t>
      </w:r>
      <w:r>
        <w:rPr>
          <w:rFonts w:hint="eastAsia" w:ascii="Times New Roman" w:hAnsi="Times New Roman" w:eastAsia="宋体" w:cs="Times New Roman"/>
          <w:color w:val="000000" w:themeColor="text1"/>
          <w:szCs w:val="32"/>
          <w:highlight w:val="none"/>
          <w14:textFill>
            <w14:solidFill>
              <w14:schemeClr w14:val="tx1"/>
            </w14:solidFill>
          </w14:textFill>
        </w:rPr>
        <w:t>天津市人民检察院检察工作网及减刑假释信息化办案平台密评改造项目</w:t>
      </w:r>
      <w:r>
        <w:rPr>
          <w:rFonts w:ascii="Times New Roman" w:hAnsi="Times New Roman" w:eastAsia="宋体" w:cs="Times New Roman"/>
          <w:color w:val="000000" w:themeColor="text1"/>
          <w:kern w:val="2"/>
          <w:highlight w:val="none"/>
          <w14:textFill>
            <w14:solidFill>
              <w14:schemeClr w14:val="tx1"/>
            </w14:solidFill>
          </w14:textFill>
        </w:rPr>
        <w:t>实施政府采购。现欢迎合格的供应商参加磋商。</w:t>
      </w:r>
    </w:p>
    <w:p w14:paraId="1700D0E4">
      <w:pPr>
        <w:pStyle w:val="29"/>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供应商电子签章的电子响应文件（以通过天津公共资源电子签章客户端正确读取签章信息为准）。供应商参加投标前须办理CA数字证书（USBKey）和电子签章。供应商须按竞争性磋商文件的规定在天津市政府采购中心招投标系统中提交网上应答并上传加盖供应商电子签章的电子响应文件（以通过天津公共资源电子签章客户端正确读取签章信息为准）。</w:t>
      </w:r>
    </w:p>
    <w:p w14:paraId="155A6B9C">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一、项目名称和编号</w:t>
      </w:r>
    </w:p>
    <w:p w14:paraId="48DEFCAA">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eastAsia="宋体" w:cs="Times New Roman"/>
          <w:color w:val="000000" w:themeColor="text1"/>
          <w:szCs w:val="32"/>
          <w:highlight w:val="none"/>
          <w14:textFill>
            <w14:solidFill>
              <w14:schemeClr w14:val="tx1"/>
            </w14:solidFill>
          </w14:textFill>
        </w:rPr>
        <w:t>天津市人民检察院检察工作网及减刑假释信息化办案平台密评改造项目</w:t>
      </w:r>
    </w:p>
    <w:p w14:paraId="2D8FDA0E">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TGPC-2024-A-0148</w:t>
      </w:r>
    </w:p>
    <w:p w14:paraId="02AD0BD4">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14:paraId="43AB7518">
      <w:pPr>
        <w:tabs>
          <w:tab w:val="left" w:pos="210"/>
        </w:tabs>
        <w:autoSpaceDE w:val="0"/>
        <w:autoSpaceDN w:val="0"/>
        <w:adjustRightInd w:val="0"/>
        <w:spacing w:line="360" w:lineRule="auto"/>
        <w:ind w:firstLine="480" w:firstLineChars="200"/>
        <w:outlineLvl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第一包：</w:t>
      </w:r>
      <w:r>
        <w:rPr>
          <w:rFonts w:hint="eastAsia"/>
          <w:color w:val="000000" w:themeColor="text1"/>
          <w:sz w:val="24"/>
          <w:szCs w:val="24"/>
          <w:highlight w:val="none"/>
          <w14:textFill>
            <w14:solidFill>
              <w14:schemeClr w14:val="tx1"/>
            </w14:solidFill>
          </w14:textFill>
        </w:rPr>
        <w:t>2台</w:t>
      </w:r>
      <w:r>
        <w:rPr>
          <w:rFonts w:hint="eastAsia"/>
          <w:color w:val="000000" w:themeColor="text1"/>
          <w:sz w:val="24"/>
          <w:szCs w:val="24"/>
          <w:highlight w:val="none"/>
          <w:lang w:val="zh-CN"/>
          <w14:textFill>
            <w14:solidFill>
              <w14:schemeClr w14:val="tx1"/>
            </w14:solidFill>
          </w14:textFill>
        </w:rPr>
        <w:t>高端安全认证网关、</w:t>
      </w:r>
      <w:r>
        <w:rPr>
          <w:rFonts w:hint="eastAsia"/>
          <w:color w:val="000000" w:themeColor="text1"/>
          <w:sz w:val="24"/>
          <w:szCs w:val="24"/>
          <w:highlight w:val="none"/>
          <w14:textFill>
            <w14:solidFill>
              <w14:schemeClr w14:val="tx1"/>
            </w14:solidFill>
          </w14:textFill>
        </w:rPr>
        <w:t>2台</w:t>
      </w:r>
      <w:r>
        <w:rPr>
          <w:rFonts w:hint="eastAsia" w:ascii="宋体" w:hAnsi="宋体"/>
          <w:color w:val="000000" w:themeColor="text1"/>
          <w:sz w:val="24"/>
          <w:highlight w:val="none"/>
          <w14:textFill>
            <w14:solidFill>
              <w14:schemeClr w14:val="tx1"/>
            </w14:solidFill>
          </w14:textFill>
        </w:rPr>
        <w:t>中高端安全认证网关、1台中端安全认证网关、4台低端安全认证网关、2台服务器密码机、2台签名验签服务器、1台堡垒机(运维审计系统)、1套日志系统、1套密码服务管理系统</w:t>
      </w:r>
      <w:r>
        <w:rPr>
          <w:rFonts w:hint="eastAsia"/>
          <w:color w:val="000000" w:themeColor="text1"/>
          <w:sz w:val="24"/>
          <w:szCs w:val="24"/>
          <w:highlight w:val="none"/>
          <w:lang w:val="zh-CN"/>
          <w14:textFill>
            <w14:solidFill>
              <w14:schemeClr w14:val="tx1"/>
            </w14:solidFill>
          </w14:textFill>
        </w:rPr>
        <w:t>（采购需求详见附件），合同履行期限：签订合同之日起5日内；安装（施工）完成：货到之日起</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zh-CN"/>
          <w14:textFill>
            <w14:solidFill>
              <w14:schemeClr w14:val="tx1"/>
            </w14:solidFill>
          </w14:textFill>
        </w:rPr>
        <w:t>0日内。</w:t>
      </w:r>
    </w:p>
    <w:p w14:paraId="23B7F297">
      <w:pPr>
        <w:tabs>
          <w:tab w:val="left" w:pos="210"/>
        </w:tabs>
        <w:autoSpaceDE w:val="0"/>
        <w:autoSpaceDN w:val="0"/>
        <w:adjustRightInd w:val="0"/>
        <w:spacing w:line="360" w:lineRule="auto"/>
        <w:ind w:firstLine="480" w:firstLineChars="200"/>
        <w:outlineLvl w:val="0"/>
        <w:rPr>
          <w:strike/>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w:t>
      </w:r>
      <w:r>
        <w:rPr>
          <w:rFonts w:hint="eastAsia"/>
          <w:color w:val="000000" w:themeColor="text1"/>
          <w:sz w:val="24"/>
          <w:szCs w:val="24"/>
          <w:highlight w:val="none"/>
          <w:lang w:val="zh-CN"/>
          <w14:textFill>
            <w14:solidFill>
              <w14:schemeClr w14:val="tx1"/>
            </w14:solidFill>
          </w14:textFill>
        </w:rPr>
        <w:t>不接受进口产品投标。</w:t>
      </w:r>
    </w:p>
    <w:p w14:paraId="62E23F4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bookmarkStart w:id="14" w:name="_GoBack"/>
      <w:bookmarkEnd w:id="14"/>
    </w:p>
    <w:p w14:paraId="1CA372D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第一包：2987200元。</w:t>
      </w:r>
    </w:p>
    <w:p w14:paraId="457A9F3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0C39EDE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2"/>
      <w:bookmarkStart w:id="4" w:name="OLE_LINK1"/>
      <w:bookmarkStart w:id="5" w:name="OLE_LINK4"/>
      <w:bookmarkStart w:id="6" w:name="OLE_LINK3"/>
      <w:r>
        <w:rPr>
          <w:rFonts w:hint="eastAsia" w:ascii="Times New Roman" w:hAnsi="Times New Roman" w:eastAsia="宋体" w:cs="Times New Roman"/>
          <w:color w:val="000000" w:themeColor="text1"/>
          <w:highlight w:val="none"/>
          <w14:textFill>
            <w14:solidFill>
              <w14:schemeClr w14:val="tx1"/>
            </w14:solidFill>
          </w14:textFill>
        </w:rPr>
        <w:t>（一）供应商须具备《中华人民共和国政府采购法》第二十二条第一款规定的条件，提供以下材料：</w:t>
      </w:r>
    </w:p>
    <w:p w14:paraId="256854E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2E8D7B7B">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04C6F08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5F074D6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36305B4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78299E5B">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6FAD0FC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提交响应文件截止日前</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年在经营活动中没有重大违法记录的书面声明（截至提交响应文件截止日成立不足</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年的供应商可提供自成立以来无重大违法记录的书面声明）。</w:t>
      </w:r>
    </w:p>
    <w:p w14:paraId="5D4335E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767805C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（二）本项目不接受联合体参与。</w:t>
      </w:r>
    </w:p>
    <w:p w14:paraId="7582B73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32BB0EF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全部货物均由</w:t>
      </w:r>
      <w:r>
        <w:rPr>
          <w:rFonts w:hint="eastAsia" w:ascii="Times New Roman" w:hAnsi="Times New Roman" w:eastAsia="宋体" w:cs="Times New Roman"/>
          <w:color w:val="000000" w:themeColor="text1"/>
          <w:highlight w:val="none"/>
          <w14:textFill>
            <w14:solidFill>
              <w14:schemeClr w14:val="tx1"/>
            </w14:solidFill>
          </w14:textFill>
        </w:rPr>
        <w:t>小微</w:t>
      </w:r>
      <w:r>
        <w:rPr>
          <w:rFonts w:ascii="Times New Roman" w:hAnsi="Times New Roman" w:eastAsia="宋体" w:cs="Times New Roman"/>
          <w:color w:val="000000" w:themeColor="text1"/>
          <w:highlight w:val="none"/>
          <w14:textFill>
            <w14:solidFill>
              <w14:schemeClr w14:val="tx1"/>
            </w14:solidFill>
          </w14:textFill>
        </w:rPr>
        <w:t>企业制造的，对</w:t>
      </w:r>
      <w:r>
        <w:rPr>
          <w:rFonts w:hint="eastAsia" w:ascii="Times New Roman" w:hAnsi="Times New Roman" w:eastAsia="宋体" w:cs="Times New Roman"/>
          <w:color w:val="000000" w:themeColor="text1"/>
          <w:highlight w:val="none"/>
          <w14:textFill>
            <w14:solidFill>
              <w14:schemeClr w14:val="tx1"/>
            </w14:solidFill>
          </w14:textFill>
        </w:rPr>
        <w:t>符合规定的</w:t>
      </w:r>
      <w:r>
        <w:rPr>
          <w:rFonts w:ascii="Times New Roman" w:hAnsi="Times New Roman" w:eastAsia="宋体" w:cs="Times New Roman"/>
          <w:color w:val="000000" w:themeColor="text1"/>
          <w:highlight w:val="none"/>
          <w14:textFill>
            <w14:solidFill>
              <w14:schemeClr w14:val="tx1"/>
            </w14:solidFill>
          </w14:textFill>
        </w:rPr>
        <w:t>小微企业制造的产品报价给予</w:t>
      </w:r>
      <w:r>
        <w:rPr>
          <w:rFonts w:hint="eastAsia" w:ascii="Times New Roman" w:hAnsi="Times New Roman" w:eastAsia="宋体" w:cs="Times New Roman"/>
          <w:color w:val="000000" w:themeColor="text1"/>
          <w:highlight w:val="none"/>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%的扣除。货物既有</w:t>
      </w:r>
      <w:r>
        <w:rPr>
          <w:rFonts w:hint="eastAsia" w:ascii="Times New Roman" w:hAnsi="Times New Roman" w:eastAsia="宋体" w:cs="Times New Roman"/>
          <w:color w:val="000000" w:themeColor="text1"/>
          <w:highlight w:val="none"/>
          <w14:textFill>
            <w14:solidFill>
              <w14:schemeClr w14:val="tx1"/>
            </w14:solidFill>
          </w14:textFill>
        </w:rPr>
        <w:t>小微</w:t>
      </w:r>
      <w:r>
        <w:rPr>
          <w:rFonts w:ascii="Times New Roman" w:hAnsi="Times New Roman" w:eastAsia="宋体" w:cs="Times New Roman"/>
          <w:color w:val="000000" w:themeColor="text1"/>
          <w:highlight w:val="none"/>
          <w14:textFill>
            <w14:solidFill>
              <w14:schemeClr w14:val="tx1"/>
            </w14:solidFill>
          </w14:textFill>
        </w:rPr>
        <w:t>企业制造的货物，也有大中企业制造的货物，不享受此扶持政策。</w:t>
      </w:r>
    </w:p>
    <w:p w14:paraId="4D3937A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2718BE1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7B402EB8">
      <w:pPr>
        <w:pStyle w:val="29"/>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84D50E9">
      <w:pPr>
        <w:pStyle w:val="29"/>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925F57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04631D1">
      <w:pPr>
        <w:pStyle w:val="29"/>
        <w:spacing w:line="360" w:lineRule="auto"/>
        <w:ind w:firstLine="48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六）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w:t>
      </w:r>
      <w:r>
        <w:rPr>
          <w:rFonts w:hint="eastAsia" w:ascii="Times New Roman" w:hAnsi="Times New Roman" w:eastAsia="宋体" w:cs="Times New Roman"/>
          <w:color w:val="000000" w:themeColor="text1"/>
          <w:highlight w:val="none"/>
          <w14:textFill>
            <w14:solidFill>
              <w14:schemeClr w14:val="tx1"/>
            </w14:solidFill>
          </w14:textFill>
        </w:rPr>
        <w:t>求，对</w:t>
      </w:r>
      <w:r>
        <w:rPr>
          <w:rFonts w:ascii="Times New Roman" w:hAnsi="Times New Roman" w:eastAsia="宋体" w:cs="Times New Roman"/>
          <w:color w:val="000000" w:themeColor="text1"/>
          <w:highlight w:val="none"/>
          <w14:textFill>
            <w14:solidFill>
              <w14:schemeClr w14:val="tx1"/>
            </w14:solidFill>
          </w14:textFill>
        </w:rPr>
        <w:t>政府采购节能、环境标志品目清单</w:t>
      </w:r>
      <w:r>
        <w:rPr>
          <w:rFonts w:hint="eastAsia" w:ascii="Times New Roman" w:hAnsi="Times New Roman" w:eastAsia="宋体" w:cs="Times New Roman"/>
          <w:color w:val="000000" w:themeColor="text1"/>
          <w:highlight w:val="none"/>
          <w14:textFill>
            <w14:solidFill>
              <w14:schemeClr w14:val="tx1"/>
            </w14:solidFill>
          </w14:textFill>
        </w:rPr>
        <w:t>内的产品实施优先采购和强制采购的评标方法。</w:t>
      </w:r>
    </w:p>
    <w:bookmarkEnd w:id="3"/>
    <w:bookmarkEnd w:id="4"/>
    <w:bookmarkEnd w:id="5"/>
    <w:bookmarkEnd w:id="6"/>
    <w:p w14:paraId="5FF1EE4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w:t>
      </w:r>
      <w:r>
        <w:rPr>
          <w:rFonts w:ascii="Times New Roman" w:hAnsi="Times New Roman" w:eastAsia="宋体" w:cs="Times New Roman"/>
          <w:color w:val="000000" w:themeColor="text1"/>
          <w:highlight w:val="none"/>
          <w14:textFill>
            <w14:solidFill>
              <w14:schemeClr w14:val="tx1"/>
            </w14:solidFill>
          </w14:textFill>
        </w:rPr>
        <w:t>、获取竞争性磋商文件时间、方式</w:t>
      </w:r>
    </w:p>
    <w:p w14:paraId="5F4EDAF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w:t>
      </w:r>
      <w:r>
        <w:rPr>
          <w:rFonts w:ascii="Times New Roman" w:hAnsi="Times New Roman" w:eastAsia="宋体"/>
          <w:color w:val="000000" w:themeColor="text1"/>
          <w:highlight w:val="none"/>
          <w14:textFill>
            <w14:solidFill>
              <w14:schemeClr w14:val="tx1"/>
            </w14:solidFill>
          </w14:textFill>
        </w:rPr>
        <w:t>2024年</w:t>
      </w:r>
      <w:r>
        <w:rPr>
          <w:rFonts w:hint="eastAsia" w:ascii="Times New Roman" w:hAnsi="Times New Roman" w:eastAsia="宋体"/>
          <w:color w:val="000000" w:themeColor="text1"/>
          <w:highlight w:val="none"/>
          <w:lang w:val="en-US" w:eastAsia="zh-CN"/>
          <w14:textFill>
            <w14:solidFill>
              <w14:schemeClr w14:val="tx1"/>
            </w14:solidFill>
          </w14:textFill>
        </w:rPr>
        <w:t>7</w:t>
      </w:r>
      <w:r>
        <w:rPr>
          <w:rFonts w:ascii="Times New Roman" w:hAnsi="Times New Roman" w:eastAsia="宋体"/>
          <w:color w:val="000000" w:themeColor="text1"/>
          <w:highlight w:val="none"/>
          <w14:textFill>
            <w14:solidFill>
              <w14:schemeClr w14:val="tx1"/>
            </w14:solidFill>
          </w14:textFill>
        </w:rPr>
        <w:t>月</w:t>
      </w:r>
      <w:r>
        <w:rPr>
          <w:rFonts w:hint="eastAsia" w:ascii="Times New Roman" w:hAnsi="Times New Roman" w:eastAsia="宋体"/>
          <w:color w:val="000000" w:themeColor="text1"/>
          <w:highlight w:val="none"/>
          <w:lang w:val="en-US" w:eastAsia="zh-CN"/>
          <w14:textFill>
            <w14:solidFill>
              <w14:schemeClr w14:val="tx1"/>
            </w14:solidFill>
          </w14:textFill>
        </w:rPr>
        <w:t>26</w:t>
      </w:r>
      <w:r>
        <w:rPr>
          <w:rFonts w:ascii="Times New Roman" w:hAnsi="Times New Roman" w:eastAsia="宋体"/>
          <w:color w:val="000000" w:themeColor="text1"/>
          <w:highlight w:val="none"/>
          <w14:textFill>
            <w14:solidFill>
              <w14:schemeClr w14:val="tx1"/>
            </w14:solidFill>
          </w14:textFill>
        </w:rPr>
        <w:t>日至2024年</w:t>
      </w:r>
      <w:r>
        <w:rPr>
          <w:rFonts w:hint="eastAsia" w:ascii="Times New Roman" w:hAnsi="Times New Roman" w:eastAsia="宋体"/>
          <w:color w:val="000000" w:themeColor="text1"/>
          <w:highlight w:val="none"/>
          <w:lang w:val="en-US" w:eastAsia="zh-CN"/>
          <w14:textFill>
            <w14:solidFill>
              <w14:schemeClr w14:val="tx1"/>
            </w14:solidFill>
          </w14:textFill>
        </w:rPr>
        <w:t>8</w:t>
      </w:r>
      <w:r>
        <w:rPr>
          <w:rFonts w:ascii="Times New Roman" w:hAnsi="Times New Roman" w:eastAsia="宋体"/>
          <w:color w:val="000000" w:themeColor="text1"/>
          <w:highlight w:val="none"/>
          <w14:textFill>
            <w14:solidFill>
              <w14:schemeClr w14:val="tx1"/>
            </w14:solidFill>
          </w14:textFill>
        </w:rPr>
        <w:t>月</w:t>
      </w:r>
      <w:r>
        <w:rPr>
          <w:rFonts w:hint="eastAsia" w:ascii="Times New Roman" w:hAnsi="Times New Roman" w:eastAsia="宋体"/>
          <w:color w:val="000000" w:themeColor="text1"/>
          <w:highlight w:val="none"/>
          <w:lang w:val="en-US" w:eastAsia="zh-CN"/>
          <w14:textFill>
            <w14:solidFill>
              <w14:schemeClr w14:val="tx1"/>
            </w14:solidFill>
          </w14:textFill>
        </w:rPr>
        <w:t>2</w:t>
      </w:r>
      <w:r>
        <w:rPr>
          <w:rFonts w:ascii="Times New Roman" w:hAnsi="Times New Roman" w:eastAsia="宋体"/>
          <w:color w:val="000000" w:themeColor="text1"/>
          <w:highlight w:val="none"/>
          <w14:textFill>
            <w14:solidFill>
              <w14:schemeClr w14:val="tx1"/>
            </w14:solidFill>
          </w14:textFill>
        </w:rPr>
        <w:t>日，每</w:t>
      </w:r>
      <w:r>
        <w:rPr>
          <w:rFonts w:ascii="Times New Roman" w:hAnsi="Times New Roman" w:eastAsia="宋体" w:cs="Times New Roman"/>
          <w:color w:val="000000" w:themeColor="text1"/>
          <w:highlight w:val="none"/>
          <w14:textFill>
            <w14:solidFill>
              <w14:schemeClr w14:val="tx1"/>
            </w14:solidFill>
          </w14:textFill>
        </w:rPr>
        <w:t>日9:00至17:00（北京时间，法定节假日除外）。</w:t>
      </w:r>
    </w:p>
    <w:p w14:paraId="6F33AA1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14:paraId="2C105B0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000000" w:themeColor="text1"/>
          <w:highlight w:val="none"/>
          <w14:textFill>
            <w14:solidFill>
              <w14:schemeClr w14:val="tx1"/>
            </w14:solidFill>
          </w14:textFill>
        </w:rPr>
        <w:t>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下载竞争性磋商文件。</w:t>
      </w:r>
    </w:p>
    <w:p w14:paraId="0A817B0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245A9B8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430E7DC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14:paraId="1DFB804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5473EBF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14:paraId="7E3159D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14:textFill>
            <w14:solidFill>
              <w14:schemeClr w14:val="tx1"/>
            </w14:solidFill>
          </w14:textFill>
        </w:rPr>
        <w:t>和标前答疑会</w:t>
      </w:r>
      <w:r>
        <w:rPr>
          <w:rFonts w:ascii="Times New Roman" w:hAnsi="Times New Roman" w:eastAsia="宋体" w:cs="Times New Roman"/>
          <w:color w:val="000000" w:themeColor="text1"/>
          <w:highlight w:val="none"/>
          <w14:textFill>
            <w14:solidFill>
              <w14:schemeClr w14:val="tx1"/>
            </w14:solidFill>
          </w14:textFill>
        </w:rPr>
        <w:t>。</w:t>
      </w:r>
    </w:p>
    <w:p w14:paraId="464FB25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七</w:t>
      </w:r>
      <w:r>
        <w:rPr>
          <w:rFonts w:ascii="Times New Roman" w:hAnsi="Times New Roman" w:eastAsia="宋体" w:cs="Times New Roman"/>
          <w:color w:val="000000" w:themeColor="text1"/>
          <w:highlight w:val="none"/>
          <w14:textFill>
            <w14:solidFill>
              <w14:schemeClr w14:val="tx1"/>
            </w14:solidFill>
          </w14:textFill>
        </w:rPr>
        <w:t>、网上应答时间</w:t>
      </w:r>
    </w:p>
    <w:p w14:paraId="7A7A9B5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26</w:t>
      </w:r>
      <w:r>
        <w:rPr>
          <w:rFonts w:hint="eastAsia"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lang w:eastAsia="zh-CN"/>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4CA60E4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197DAF8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八、提交电子响应文件截止时间及方式</w:t>
      </w:r>
    </w:p>
    <w:p w14:paraId="05C4893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0。提交电子响应文件截止时间前提交网上应答并分别上传加盖电子签章的第一、第二阶段电子响应文件（以通过天津公共资源电子签章客户端正确读取签章信息为准）方为有效响应。</w:t>
      </w:r>
    </w:p>
    <w:p w14:paraId="5FCFF5E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lang w:eastAsia="zh-CN"/>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4819048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九、解密时间、方式及磋商地点</w:t>
      </w:r>
    </w:p>
    <w:p w14:paraId="02D024B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14:textFill>
            <w14:solidFill>
              <w14:schemeClr w14:val="tx1"/>
            </w14:solidFill>
          </w14:textFill>
        </w:rPr>
        <w:t>0完成第一阶段解密的方为有效响应。</w:t>
      </w:r>
    </w:p>
    <w:p w14:paraId="061E0AC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14:paraId="49903CE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（三）解密方式：供应商</w:t>
      </w:r>
      <w:r>
        <w:rPr>
          <w:rFonts w:ascii="Times New Roman" w:hAnsi="Times New Roman" w:eastAsia="宋体" w:cs="Times New Roman"/>
          <w:color w:val="000000" w:themeColor="text1"/>
          <w:highlight w:val="none"/>
          <w14:textFill>
            <w14:solidFill>
              <w14:schemeClr w14:val="tx1"/>
            </w14:solidFill>
          </w14:textFill>
        </w:rPr>
        <w:t>须于</w:t>
      </w:r>
      <w:r>
        <w:rPr>
          <w:rFonts w:hint="eastAsia" w:ascii="Times New Roman" w:hAnsi="Times New Roman" w:eastAsia="宋体" w:cs="Times New Roman"/>
          <w:color w:val="000000" w:themeColor="text1"/>
          <w:highlight w:val="none"/>
          <w14:textFill>
            <w14:solidFill>
              <w14:schemeClr w14:val="tx1"/>
            </w14:solidFill>
          </w14:textFill>
        </w:rPr>
        <w:t>上述规定时间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lang w:eastAsia="zh-CN"/>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完成解密。</w:t>
      </w:r>
    </w:p>
    <w:p w14:paraId="3D7D34C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14:paraId="075DF90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3B265EE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4A12841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4362B34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3C84C93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4D27363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7456C40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3FAB0C4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20038BA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4311BA3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14:textFill>
            <w14:solidFill>
              <w14:schemeClr w14:val="tx1"/>
            </w14:solidFill>
          </w14:textFill>
        </w:rPr>
        <w:t>8176</w:t>
      </w:r>
    </w:p>
    <w:p w14:paraId="1A22D34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45106D8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22470EB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天津市人民检察院 </w:t>
      </w:r>
      <w:r>
        <w:rPr>
          <w:rFonts w:ascii="Times New Roman" w:hAnsi="Times New Roman" w:eastAsia="宋体" w:cs="Times New Roman"/>
          <w:color w:val="000000" w:themeColor="text1"/>
          <w:highlight w:val="none"/>
          <w14:textFill>
            <w14:solidFill>
              <w14:schemeClr w14:val="tx1"/>
            </w14:solidFill>
          </w14:textFill>
        </w:rPr>
        <w:t xml:space="preserve"> </w:t>
      </w:r>
    </w:p>
    <w:p w14:paraId="1B0B61B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天津市河西区南兴道368号 </w:t>
      </w:r>
      <w:r>
        <w:rPr>
          <w:rFonts w:ascii="Times New Roman" w:hAnsi="Times New Roman" w:eastAsia="宋体" w:cs="Times New Roman"/>
          <w:color w:val="000000" w:themeColor="text1"/>
          <w:highlight w:val="none"/>
          <w14:textFill>
            <w14:solidFill>
              <w14:schemeClr w14:val="tx1"/>
            </w14:solidFill>
          </w14:textFill>
        </w:rPr>
        <w:t xml:space="preserve"> </w:t>
      </w:r>
    </w:p>
    <w:p w14:paraId="1EAF580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程元起 </w:t>
      </w:r>
      <w:r>
        <w:rPr>
          <w:rFonts w:ascii="Times New Roman" w:hAnsi="Times New Roman" w:eastAsia="宋体" w:cs="Times New Roman"/>
          <w:color w:val="000000" w:themeColor="text1"/>
          <w:highlight w:val="none"/>
          <w14:textFill>
            <w14:solidFill>
              <w14:schemeClr w14:val="tx1"/>
            </w14:solidFill>
          </w14:textFill>
        </w:rPr>
        <w:t xml:space="preserve"> </w:t>
      </w:r>
    </w:p>
    <w:p w14:paraId="47D1F6F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 xml:space="preserve">022-28708917 </w:t>
      </w:r>
      <w:r>
        <w:rPr>
          <w:rFonts w:ascii="Times New Roman" w:hAnsi="Times New Roman" w:eastAsia="宋体" w:cs="Times New Roman"/>
          <w:color w:val="000000" w:themeColor="text1"/>
          <w:highlight w:val="none"/>
          <w14:textFill>
            <w14:solidFill>
              <w14:schemeClr w14:val="tx1"/>
            </w14:solidFill>
          </w14:textFill>
        </w:rPr>
        <w:t xml:space="preserve"> </w:t>
      </w:r>
    </w:p>
    <w:p w14:paraId="5CFD22F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7632925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D256AE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6F81E7AB">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 联系部门：天津市人民检察院 </w:t>
      </w:r>
    </w:p>
    <w:p w14:paraId="65A17238">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联系地址：天津市河西区南兴道368号 </w:t>
      </w:r>
    </w:p>
    <w:p w14:paraId="7DA7CC2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人：高瑄 </w:t>
      </w:r>
    </w:p>
    <w:p w14:paraId="294FA6AC">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联系方式：022-28708605</w:t>
      </w:r>
    </w:p>
    <w:p w14:paraId="6FB9D87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47B15D9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7A602B1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磋商</w:t>
      </w:r>
      <w:r>
        <w:rPr>
          <w:rFonts w:ascii="Times New Roman" w:hAnsi="Times New Roman" w:eastAsia="宋体" w:cs="Times New Roman"/>
          <w:color w:val="000000" w:themeColor="text1"/>
          <w:highlight w:val="none"/>
          <w14:textFill>
            <w14:solidFill>
              <w14:schemeClr w14:val="tx1"/>
            </w14:solidFill>
          </w14:textFill>
        </w:rPr>
        <w:t>公告的公告期限为</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个工作日。</w:t>
      </w:r>
    </w:p>
    <w:p w14:paraId="5662FFC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2EFA71A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本项目按以下比例向成交供应商收取招标代理服务费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52C0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58E69B4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成交金额</w:t>
            </w:r>
            <w:r>
              <w:rPr>
                <w:rFonts w:hint="eastAsia"/>
                <w:color w:val="000000" w:themeColor="text1"/>
                <w:sz w:val="24"/>
                <w:highlight w:val="none"/>
                <w14:textFill>
                  <w14:solidFill>
                    <w14:schemeClr w14:val="tx1"/>
                  </w14:solidFill>
                </w14:textFill>
              </w:rPr>
              <w:t>（万元）</w:t>
            </w:r>
          </w:p>
        </w:tc>
        <w:tc>
          <w:tcPr>
            <w:tcW w:w="3657" w:type="dxa"/>
            <w:vAlign w:val="center"/>
          </w:tcPr>
          <w:p w14:paraId="21E113C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73B8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45FC0B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5870A00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p>
        </w:tc>
      </w:tr>
      <w:tr w14:paraId="19C9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BF8708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5500C66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w:t>
            </w:r>
          </w:p>
        </w:tc>
      </w:tr>
      <w:tr w14:paraId="0C93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31C47A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7EF4B36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65</w:t>
            </w:r>
            <w:r>
              <w:rPr>
                <w:color w:val="000000" w:themeColor="text1"/>
                <w:sz w:val="24"/>
                <w:highlight w:val="none"/>
                <w14:textFill>
                  <w14:solidFill>
                    <w14:schemeClr w14:val="tx1"/>
                  </w14:solidFill>
                </w14:textFill>
              </w:rPr>
              <w:t>%</w:t>
            </w:r>
          </w:p>
        </w:tc>
      </w:tr>
      <w:tr w14:paraId="342B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3A1A40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0B1EB5A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w:t>
            </w:r>
          </w:p>
        </w:tc>
      </w:tr>
      <w:tr w14:paraId="1FAD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5CC2D5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04F3FFE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0.25%</w:t>
            </w:r>
          </w:p>
        </w:tc>
      </w:tr>
      <w:tr w14:paraId="7BA3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F07F4B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7F4455F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54947637">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成交</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65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53732.5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缴纳53732元。</w:t>
      </w:r>
      <w:r>
        <w:rPr>
          <w:color w:val="000000" w:themeColor="text1"/>
          <w:sz w:val="24"/>
          <w:highlight w:val="none"/>
          <w:lang w:val="zh-CN"/>
          <w14:textFill>
            <w14:solidFill>
              <w14:schemeClr w14:val="tx1"/>
            </w14:solidFill>
          </w14:textFill>
        </w:rPr>
        <w:t>其中成交金额以《成交通知书》为准。</w:t>
      </w:r>
    </w:p>
    <w:p w14:paraId="5E87F285">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成交供应商应于成交公告发布之日起5个工作日内缴纳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招标代理服务费，缴费单位名称须与投标单位名称一致，缴费时请注明项目编号及成交包号。</w:t>
      </w:r>
    </w:p>
    <w:p w14:paraId="206FD0A7">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7CA4659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49D94FC8">
      <w:pPr>
        <w:pStyle w:val="29"/>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30D678E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2EE9408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455DA2F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34416D0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4D000E6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1634E74D">
      <w:pPr>
        <w:pStyle w:val="29"/>
        <w:spacing w:line="360" w:lineRule="auto"/>
        <w:ind w:firstLine="480" w:firstLineChars="200"/>
        <w:jc w:val="both"/>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14:paraId="069A27B4">
      <w:pPr>
        <w:pStyle w:val="29"/>
        <w:spacing w:line="360" w:lineRule="auto"/>
        <w:ind w:firstLine="480" w:firstLineChars="200"/>
        <w:jc w:val="both"/>
        <w:rPr>
          <w:rFonts w:hint="eastAsia"/>
          <w:color w:val="000000" w:themeColor="text1"/>
          <w:highlight w:val="none"/>
          <w:lang w:val="zh-CN"/>
          <w14:textFill>
            <w14:solidFill>
              <w14:schemeClr w14:val="tx1"/>
            </w14:solidFill>
          </w14:textFill>
        </w:rPr>
      </w:pPr>
    </w:p>
    <w:p w14:paraId="62F1D6B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72C81342">
      <w:pPr>
        <w:pStyle w:val="29"/>
        <w:spacing w:line="360" w:lineRule="auto"/>
        <w:ind w:firstLine="6480" w:firstLineChars="27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7</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26</w:t>
      </w:r>
      <w:r>
        <w:rPr>
          <w:rFonts w:ascii="Times New Roman" w:hAnsi="Times New Roman" w:eastAsia="宋体" w:cs="Times New Roman"/>
          <w:color w:val="000000" w:themeColor="text1"/>
          <w:kern w:val="2"/>
          <w:highlight w:val="none"/>
          <w14:textFill>
            <w14:solidFill>
              <w14:schemeClr w14:val="tx1"/>
            </w14:solidFill>
          </w14:textFill>
        </w:rPr>
        <w:t>日</w:t>
      </w:r>
    </w:p>
    <w:p w14:paraId="0097BBD3">
      <w:pPr>
        <w:widowControl/>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580D300B">
      <w:pPr>
        <w:spacing w:line="360" w:lineRule="auto"/>
        <w:jc w:val="cente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14:paraId="0CF8FE27">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14:paraId="473AC92D">
      <w:pPr>
        <w:spacing w:line="360" w:lineRule="auto"/>
        <w:ind w:firstLine="480"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14:paraId="3544A73A">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5D03AC8">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14:paraId="406BD4E9">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03D3C8B6">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6EC7AE54">
      <w:pPr>
        <w:widowControl/>
        <w:jc w:val="left"/>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14:paraId="7D77BFE7">
      <w:pPr>
        <w:spacing w:line="360" w:lineRule="auto"/>
        <w:jc w:val="cente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14:paraId="7609F6A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hint="eastAsia"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14:paraId="7747661C">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【支持对象】以下对象可享受支持政策：</w:t>
      </w: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在境内依法设立，依据国务院批准的中小企业划分标准确定的</w:t>
      </w:r>
      <w:r>
        <w:rPr>
          <w:rFonts w:hint="eastAsia" w:eastAsiaTheme="minorEastAsia"/>
          <w:b/>
          <w:color w:val="000000" w:themeColor="text1"/>
          <w:sz w:val="24"/>
          <w:szCs w:val="24"/>
          <w:highlight w:val="none"/>
          <w14:textFill>
            <w14:solidFill>
              <w14:schemeClr w14:val="tx1"/>
            </w14:solidFill>
          </w14:textFill>
        </w:rPr>
        <w:t>中型企业、小型企业和微型企业</w:t>
      </w:r>
      <w:r>
        <w:rPr>
          <w:rFonts w:hint="eastAsia"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w:t>
      </w: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符合中小企业划分标准的</w:t>
      </w:r>
      <w:r>
        <w:rPr>
          <w:rFonts w:hint="eastAsia" w:eastAsiaTheme="minorEastAsia"/>
          <w:b/>
          <w:color w:val="000000" w:themeColor="text1"/>
          <w:sz w:val="24"/>
          <w:szCs w:val="24"/>
          <w:highlight w:val="none"/>
          <w14:textFill>
            <w14:solidFill>
              <w14:schemeClr w14:val="tx1"/>
            </w14:solidFill>
          </w14:textFill>
        </w:rPr>
        <w:t>个体工商户</w:t>
      </w:r>
      <w:r>
        <w:rPr>
          <w:rFonts w:hint="eastAsia" w:eastAsiaTheme="minorEastAsia"/>
          <w:color w:val="000000" w:themeColor="text1"/>
          <w:sz w:val="24"/>
          <w:szCs w:val="24"/>
          <w:highlight w:val="none"/>
          <w14:textFill>
            <w14:solidFill>
              <w14:schemeClr w14:val="tx1"/>
            </w14:solidFill>
          </w14:textFill>
        </w:rPr>
        <w:t>。</w:t>
      </w:r>
    </w:p>
    <w:p w14:paraId="09254878">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14:paraId="7659E6A7">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hint="eastAsia"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hint="eastAsia" w:eastAsiaTheme="minorEastAsia"/>
          <w:snapToGrid w:val="0"/>
          <w:color w:val="000000" w:themeColor="text1"/>
          <w:sz w:val="24"/>
          <w:szCs w:val="24"/>
          <w:highlight w:val="none"/>
          <w14:textFill>
            <w14:solidFill>
              <w14:schemeClr w14:val="tx1"/>
            </w14:solidFill>
          </w14:textFill>
        </w:rPr>
        <w:t>；</w:t>
      </w:r>
    </w:p>
    <w:p w14:paraId="71F2844F">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14:paraId="7FCABD69">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hint="eastAsia" w:eastAsiaTheme="minorEastAsia"/>
          <w:b/>
          <w:snapToGrid w:val="0"/>
          <w:color w:val="000000" w:themeColor="text1"/>
          <w:sz w:val="24"/>
          <w:szCs w:val="24"/>
          <w:highlight w:val="none"/>
          <w14:textFill>
            <w14:solidFill>
              <w14:schemeClr w14:val="tx1"/>
            </w14:solidFill>
          </w14:textFill>
        </w:rPr>
        <w:t>订立劳动合同</w:t>
      </w:r>
      <w:r>
        <w:rPr>
          <w:rFonts w:hint="eastAsia" w:eastAsiaTheme="minorEastAsia"/>
          <w:snapToGrid w:val="0"/>
          <w:color w:val="000000" w:themeColor="text1"/>
          <w:sz w:val="24"/>
          <w:szCs w:val="24"/>
          <w:highlight w:val="none"/>
          <w14:textFill>
            <w14:solidFill>
              <w14:schemeClr w14:val="tx1"/>
            </w14:solidFill>
          </w14:textFill>
        </w:rPr>
        <w:t>的从业人员。</w:t>
      </w:r>
    </w:p>
    <w:p w14:paraId="1FD168F2">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小微企业的，联合体视同小微企业。</w:t>
      </w:r>
    </w:p>
    <w:p w14:paraId="3FB3D2DF">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【注意事项】</w:t>
      </w:r>
    </w:p>
    <w:p w14:paraId="70AD8F5F">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中小企业参加政府采购活动，应当出具规定的《中小企业声明函》，否则不得享受相关中小企业扶持政策。任何单位和个人不得要求供应商提供《中小企业声明函》之外的中小企业身份证明文件。</w:t>
      </w:r>
    </w:p>
    <w:p w14:paraId="4D6231F6">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中小企业应当对声明函的内容的真实性负责。声明内容如有不实，则构成提供虚假材料谋取中标、成交的情形，需承担相应的法律责任。</w:t>
      </w:r>
    </w:p>
    <w:p w14:paraId="4B238D5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hint="eastAsia" w:eastAsiaTheme="minorEastAsia"/>
          <w:color w:val="000000" w:themeColor="text1"/>
          <w:sz w:val="24"/>
          <w:szCs w:val="24"/>
          <w:highlight w:val="none"/>
          <w14:textFill>
            <w14:solidFill>
              <w14:schemeClr w14:val="tx1"/>
            </w14:solidFill>
          </w14:textFill>
        </w:rPr>
        <w:t>政府采购项目的采购意向、采购公告和招标文件（谈判文件、磋商文件等）中，应当明确本项目执行支持中小企业的具体措施，如预留份额、评审优惠（应当明确具体优惠比例）或者优先采购等。</w:t>
      </w:r>
    </w:p>
    <w:p w14:paraId="2DF26726">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【政策目录】</w:t>
      </w:r>
    </w:p>
    <w:p w14:paraId="476BF226">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《中华人民共和国政府采购法》第九条</w:t>
      </w:r>
    </w:p>
    <w:p w14:paraId="13357160">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《中华人民共和国政府采购法实施条例》第六条</w:t>
      </w:r>
    </w:p>
    <w:p w14:paraId="044B33FD">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 xml:space="preserve">3. </w:t>
      </w:r>
      <w:r>
        <w:rPr>
          <w:rFonts w:hint="eastAsia" w:eastAsiaTheme="minorEastAsia"/>
          <w:color w:val="000000" w:themeColor="text1"/>
          <w:sz w:val="24"/>
          <w:szCs w:val="24"/>
          <w:highlight w:val="none"/>
          <w14:textFill>
            <w14:solidFill>
              <w14:schemeClr w14:val="tx1"/>
            </w14:solidFill>
          </w14:textFill>
        </w:rPr>
        <w:t>财政部</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工业和信息化部关于印发《政府采购促进中小企业发展管理办法》的通知（财库〔</w:t>
      </w:r>
      <w:r>
        <w:rPr>
          <w:rFonts w:eastAsiaTheme="minorEastAsia"/>
          <w:color w:val="000000" w:themeColor="text1"/>
          <w:sz w:val="24"/>
          <w:szCs w:val="24"/>
          <w:highlight w:val="none"/>
          <w14:textFill>
            <w14:solidFill>
              <w14:schemeClr w14:val="tx1"/>
            </w14:solidFill>
          </w14:textFill>
        </w:rPr>
        <w:t>2020</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46</w:t>
      </w:r>
      <w:r>
        <w:rPr>
          <w:rFonts w:hint="eastAsia" w:eastAsiaTheme="minorEastAsia"/>
          <w:color w:val="000000" w:themeColor="text1"/>
          <w:sz w:val="24"/>
          <w:szCs w:val="24"/>
          <w:highlight w:val="none"/>
          <w14:textFill>
            <w14:solidFill>
              <w14:schemeClr w14:val="tx1"/>
            </w14:solidFill>
          </w14:textFill>
        </w:rPr>
        <w:t>号）</w:t>
      </w:r>
    </w:p>
    <w:p w14:paraId="541628A8">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 xml:space="preserve">4. </w:t>
      </w:r>
      <w:r>
        <w:rPr>
          <w:rFonts w:hint="eastAsia" w:eastAsiaTheme="minorEastAsia"/>
          <w:color w:val="000000" w:themeColor="text1"/>
          <w:sz w:val="24"/>
          <w:szCs w:val="24"/>
          <w:highlight w:val="none"/>
          <w14:textFill>
            <w14:solidFill>
              <w14:schemeClr w14:val="tx1"/>
            </w14:solidFill>
          </w14:textFill>
        </w:rPr>
        <w:t>财政部关于进一步加大政府采购支持中小企业力度的通知（财库〔</w:t>
      </w:r>
      <w:r>
        <w:rPr>
          <w:rFonts w:eastAsiaTheme="minorEastAsia"/>
          <w:color w:val="000000" w:themeColor="text1"/>
          <w:sz w:val="24"/>
          <w:szCs w:val="24"/>
          <w:highlight w:val="none"/>
          <w14:textFill>
            <w14:solidFill>
              <w14:schemeClr w14:val="tx1"/>
            </w14:solidFill>
          </w14:textFill>
        </w:rPr>
        <w:t>2022</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19</w:t>
      </w:r>
      <w:r>
        <w:rPr>
          <w:rFonts w:hint="eastAsia" w:eastAsiaTheme="minorEastAsia"/>
          <w:color w:val="000000" w:themeColor="text1"/>
          <w:sz w:val="24"/>
          <w:szCs w:val="24"/>
          <w:highlight w:val="none"/>
          <w14:textFill>
            <w14:solidFill>
              <w14:schemeClr w14:val="tx1"/>
            </w14:solidFill>
          </w14:textFill>
        </w:rPr>
        <w:t>号）</w:t>
      </w:r>
    </w:p>
    <w:p w14:paraId="71229443">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w:t>
      </w:r>
      <w:r>
        <w:rPr>
          <w:rFonts w:hint="eastAsia" w:eastAsiaTheme="minorEastAsia"/>
          <w:color w:val="000000" w:themeColor="text1"/>
          <w:sz w:val="24"/>
          <w:szCs w:val="24"/>
          <w:highlight w:val="none"/>
          <w14:textFill>
            <w14:solidFill>
              <w14:schemeClr w14:val="tx1"/>
            </w14:solidFill>
          </w14:textFill>
        </w:rPr>
        <w:t>天津市财政局</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天津市工业和信息化局关于贯彻落实《政府采购促进中小企业发展管理办法》的通知（津财采〔</w:t>
      </w:r>
      <w:r>
        <w:rPr>
          <w:rFonts w:eastAsiaTheme="minorEastAsia"/>
          <w:color w:val="000000" w:themeColor="text1"/>
          <w:sz w:val="24"/>
          <w:szCs w:val="24"/>
          <w:highlight w:val="none"/>
          <w14:textFill>
            <w14:solidFill>
              <w14:schemeClr w14:val="tx1"/>
            </w14:solidFill>
          </w14:textFill>
        </w:rPr>
        <w:t>2021</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12</w:t>
      </w:r>
      <w:r>
        <w:rPr>
          <w:rFonts w:hint="eastAsia" w:eastAsiaTheme="minorEastAsia"/>
          <w:color w:val="000000" w:themeColor="text1"/>
          <w:sz w:val="24"/>
          <w:szCs w:val="24"/>
          <w:highlight w:val="none"/>
          <w14:textFill>
            <w14:solidFill>
              <w14:schemeClr w14:val="tx1"/>
            </w14:solidFill>
          </w14:textFill>
        </w:rPr>
        <w:t>号）</w:t>
      </w:r>
    </w:p>
    <w:p w14:paraId="569EC95F">
      <w:pPr>
        <w:spacing w:line="360" w:lineRule="exact"/>
        <w:ind w:firstLine="448" w:firstLineChars="200"/>
        <w:rPr>
          <w:rFonts w:eastAsiaTheme="minorEastAsia"/>
          <w:color w:val="000000" w:themeColor="text1"/>
          <w:spacing w:val="-8"/>
          <w:sz w:val="24"/>
          <w:highlight w:val="none"/>
          <w14:textFill>
            <w14:solidFill>
              <w14:schemeClr w14:val="tx1"/>
            </w14:solidFill>
          </w14:textFill>
        </w:rPr>
      </w:pPr>
      <w:r>
        <w:rPr>
          <w:rFonts w:eastAsiaTheme="minorEastAsia"/>
          <w:color w:val="000000" w:themeColor="text1"/>
          <w:spacing w:val="-8"/>
          <w:sz w:val="24"/>
          <w:highlight w:val="none"/>
          <w14:textFill>
            <w14:solidFill>
              <w14:schemeClr w14:val="tx1"/>
            </w14:solidFill>
          </w14:textFill>
        </w:rPr>
        <w:t>6.</w:t>
      </w:r>
      <w:r>
        <w:rPr>
          <w:rFonts w:hint="eastAsia" w:eastAsiaTheme="minorEastAsia"/>
          <w:color w:val="000000" w:themeColor="text1"/>
          <w:spacing w:val="-8"/>
          <w:sz w:val="24"/>
          <w:highlight w:val="none"/>
          <w14:textFill>
            <w14:solidFill>
              <w14:schemeClr w14:val="tx1"/>
            </w14:solidFill>
          </w14:textFill>
        </w:rPr>
        <w:t>市财政局</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市发展改革委</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市住房城乡建设委</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市交通运输委</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市水务局</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市政务服务办关于进一步贯彻落实政府采购支持中小企业政策的通知（津财采〔</w:t>
      </w:r>
      <w:r>
        <w:rPr>
          <w:rFonts w:eastAsiaTheme="minorEastAsia"/>
          <w:color w:val="000000" w:themeColor="text1"/>
          <w:spacing w:val="-8"/>
          <w:sz w:val="24"/>
          <w:highlight w:val="none"/>
          <w14:textFill>
            <w14:solidFill>
              <w14:schemeClr w14:val="tx1"/>
            </w14:solidFill>
          </w14:textFill>
        </w:rPr>
        <w:t>2022</w:t>
      </w:r>
      <w:r>
        <w:rPr>
          <w:rFonts w:hint="eastAsia" w:eastAsiaTheme="minorEastAsia"/>
          <w:color w:val="000000" w:themeColor="text1"/>
          <w:spacing w:val="-8"/>
          <w:sz w:val="24"/>
          <w:highlight w:val="none"/>
          <w14:textFill>
            <w14:solidFill>
              <w14:schemeClr w14:val="tx1"/>
            </w14:solidFill>
          </w14:textFill>
        </w:rPr>
        <w:t>〕</w:t>
      </w:r>
      <w:r>
        <w:rPr>
          <w:rFonts w:eastAsiaTheme="minorEastAsia"/>
          <w:color w:val="000000" w:themeColor="text1"/>
          <w:spacing w:val="-8"/>
          <w:sz w:val="24"/>
          <w:highlight w:val="none"/>
          <w14:textFill>
            <w14:solidFill>
              <w14:schemeClr w14:val="tx1"/>
            </w14:solidFill>
          </w14:textFill>
        </w:rPr>
        <w:t>11</w:t>
      </w:r>
      <w:r>
        <w:rPr>
          <w:rFonts w:hint="eastAsia" w:eastAsiaTheme="minorEastAsia"/>
          <w:color w:val="000000" w:themeColor="text1"/>
          <w:spacing w:val="-8"/>
          <w:sz w:val="24"/>
          <w:highlight w:val="none"/>
          <w14:textFill>
            <w14:solidFill>
              <w14:schemeClr w14:val="tx1"/>
            </w14:solidFill>
          </w14:textFill>
        </w:rPr>
        <w:t>号）</w:t>
      </w:r>
    </w:p>
    <w:p w14:paraId="24A0253E">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14:paraId="2EC18C4C">
      <w:pPr>
        <w:pStyle w:val="16"/>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14:paraId="5230121B">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14:paraId="19336F20">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653AE5E1">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0"/>
          <w:rFonts w:ascii="Times New Roman" w:hAnsi="Times New Roman" w:cs="Times New Roman" w:eastAsiaTheme="minorEastAsia"/>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14:paraId="1F91DEFA">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14:paraId="3A23E86C">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14:paraId="0E985BA4">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14:paraId="06006558">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14:paraId="583C8E60">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14:paraId="262ED590">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14:paraId="6DC3C33C">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20"/>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14:paraId="0A25D168">
      <w:pPr>
        <w:pStyle w:val="16"/>
        <w:shd w:val="clear" w:color="auto" w:fill="FFFFFF"/>
        <w:adjustRightInd w:val="0"/>
        <w:snapToGrid w:val="0"/>
        <w:spacing w:before="0" w:beforeAutospacing="0" w:after="0" w:afterAutospacing="0" w:line="440" w:lineRule="exact"/>
        <w:ind w:firstLine="480" w:firstLineChars="200"/>
        <w:jc w:val="both"/>
        <w:rPr>
          <w:rFonts w:hint="eastAsia" w:eastAsiaTheme="minorEastAsia"/>
          <w:color w:val="000000" w:themeColor="text1"/>
          <w:spacing w:val="-8"/>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7DF38F4">
      <w:pPr>
        <w:spacing w:line="360" w:lineRule="exact"/>
        <w:ind w:firstLine="611" w:firstLineChars="200"/>
        <w:rPr>
          <w:b/>
          <w:bCs/>
          <w:color w:val="000000" w:themeColor="text1"/>
          <w:spacing w:val="-8"/>
          <w:kern w:val="28"/>
          <w:sz w:val="32"/>
          <w:szCs w:val="32"/>
          <w:highlight w:val="none"/>
          <w14:textFill>
            <w14:solidFill>
              <w14:schemeClr w14:val="tx1"/>
            </w14:solidFill>
          </w14:textFill>
        </w:rPr>
      </w:pPr>
    </w:p>
    <w:p w14:paraId="7998CEFD">
      <w:pPr>
        <w:pStyle w:val="1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14:paraId="7649C4C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加注“★”号条款为实质性条款，不得出现负偏离，发生负偏离即做无效标处理。</w:t>
      </w:r>
    </w:p>
    <w:p w14:paraId="070E2244">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444551CF">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密码是保障网络与信息安全的核心技术和基础支撑，是解决网络与信息安全问题最有效、最可靠、最经济的手段。《密码法》的颁布实施，从法律层面为开展商用密码应用提供了根本遵循，《国家政务信息化项目建设管理办法》的颁布实施，进一步促进了商用密码的全面应用。</w:t>
      </w:r>
    </w:p>
    <w:p w14:paraId="32605A80">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天津市人民检察院为贯彻落实《密码法》及最高人民检察院下发的2024年商用密码建设工作要求，决定对已经建成的检察工作网及减刑假释信息化办案平台进行密码应用改造。</w:t>
      </w:r>
    </w:p>
    <w:p w14:paraId="357CB459">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本项目属于工业。</w:t>
      </w:r>
    </w:p>
    <w:p w14:paraId="0C1F77A0">
      <w:pPr>
        <w:autoSpaceDE w:val="0"/>
        <w:autoSpaceDN w:val="0"/>
        <w:spacing w:line="360" w:lineRule="auto"/>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14:paraId="2E3CFEEE">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★（一）投标人须承诺所投产品和服务符合相关强制性规定。交货时采购人有权要求投标人出具所投产品、服务符合上述规定的证明文件。</w:t>
      </w:r>
    </w:p>
    <w:p w14:paraId="750CC713">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（二）采购清单</w:t>
      </w:r>
    </w:p>
    <w:p w14:paraId="063E233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1. 投标产品实质性要求</w:t>
      </w:r>
    </w:p>
    <w:p w14:paraId="18D9731C">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关于调整网络安全专用产品安全管理有关事项的公告》，须提供所投堡垒机(运维审计系统)、日志系统由具备资格的机构发放的安全认证合格或安全检测符合证明材料扫描件，或仍在有效期内的《计算机信息系统安全专用产品销售许可证》扫描件。</w:t>
      </w:r>
    </w:p>
    <w:p w14:paraId="6921BE4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商用密码管理条例》的规定，须提供所投高端安全认证网关、中高端安全认证网关、中端安全认证网关、低端安全认证网关、服务器密码机、签名验签服务器由国家密码管理局商用密码检测中心颁发的《商用密码产品认证证书》，提供证书扫描件。</w:t>
      </w:r>
    </w:p>
    <w:p w14:paraId="4E8CAF96">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技术参数</w:t>
      </w:r>
    </w:p>
    <w:tbl>
      <w:tblPr>
        <w:tblStyle w:val="17"/>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58"/>
        <w:gridCol w:w="5083"/>
        <w:gridCol w:w="709"/>
        <w:gridCol w:w="708"/>
      </w:tblGrid>
      <w:tr w14:paraId="2E5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shd w:val="clear" w:color="auto" w:fill="auto"/>
            <w:noWrap/>
            <w:vAlign w:val="center"/>
          </w:tcPr>
          <w:p w14:paraId="0638DD8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序号</w:t>
            </w:r>
          </w:p>
        </w:tc>
        <w:tc>
          <w:tcPr>
            <w:tcW w:w="1158" w:type="dxa"/>
            <w:shd w:val="clear" w:color="auto" w:fill="auto"/>
            <w:vAlign w:val="center"/>
          </w:tcPr>
          <w:p w14:paraId="4E96EA7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标的名称</w:t>
            </w:r>
          </w:p>
        </w:tc>
        <w:tc>
          <w:tcPr>
            <w:tcW w:w="5083" w:type="dxa"/>
            <w:shd w:val="clear" w:color="auto" w:fill="auto"/>
            <w:vAlign w:val="center"/>
          </w:tcPr>
          <w:p w14:paraId="0EAEBFF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技术要求</w:t>
            </w:r>
          </w:p>
        </w:tc>
        <w:tc>
          <w:tcPr>
            <w:tcW w:w="709" w:type="dxa"/>
            <w:shd w:val="clear" w:color="auto" w:fill="auto"/>
            <w:noWrap/>
            <w:vAlign w:val="center"/>
          </w:tcPr>
          <w:p w14:paraId="61061DB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单位</w:t>
            </w:r>
          </w:p>
        </w:tc>
        <w:tc>
          <w:tcPr>
            <w:tcW w:w="708" w:type="dxa"/>
            <w:shd w:val="clear" w:color="auto" w:fill="auto"/>
            <w:noWrap/>
            <w:vAlign w:val="center"/>
          </w:tcPr>
          <w:p w14:paraId="42AE28C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数量</w:t>
            </w:r>
          </w:p>
        </w:tc>
      </w:tr>
      <w:tr w14:paraId="456F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0" w:type="auto"/>
            <w:vMerge w:val="restart"/>
            <w:shd w:val="clear" w:color="auto" w:fill="auto"/>
            <w:noWrap/>
            <w:vAlign w:val="center"/>
          </w:tcPr>
          <w:p w14:paraId="72E15B4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w:t>
            </w:r>
          </w:p>
        </w:tc>
        <w:tc>
          <w:tcPr>
            <w:tcW w:w="1158" w:type="dxa"/>
            <w:vMerge w:val="restart"/>
            <w:shd w:val="clear" w:color="auto" w:fill="auto"/>
            <w:vAlign w:val="center"/>
          </w:tcPr>
          <w:p w14:paraId="4A78E57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高端安全认证网关</w:t>
            </w:r>
          </w:p>
        </w:tc>
        <w:tc>
          <w:tcPr>
            <w:tcW w:w="5083" w:type="dxa"/>
            <w:shd w:val="clear" w:color="auto" w:fill="auto"/>
            <w:vAlign w:val="center"/>
          </w:tcPr>
          <w:p w14:paraId="1B07617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★1）标准硬件设备≥2U，冗余电源；千兆电口≥6个，万兆光口≥2个（包含满配万兆光模块）；</w:t>
            </w:r>
          </w:p>
        </w:tc>
        <w:tc>
          <w:tcPr>
            <w:tcW w:w="709" w:type="dxa"/>
            <w:vMerge w:val="restart"/>
            <w:shd w:val="clear" w:color="auto" w:fill="auto"/>
            <w:noWrap/>
            <w:vAlign w:val="center"/>
          </w:tcPr>
          <w:p w14:paraId="0531FEC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台</w:t>
            </w:r>
          </w:p>
        </w:tc>
        <w:tc>
          <w:tcPr>
            <w:tcW w:w="708" w:type="dxa"/>
            <w:vMerge w:val="restart"/>
            <w:shd w:val="clear" w:color="auto" w:fill="auto"/>
            <w:noWrap/>
            <w:vAlign w:val="center"/>
          </w:tcPr>
          <w:p w14:paraId="6A07B9C9">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w:t>
            </w:r>
          </w:p>
        </w:tc>
      </w:tr>
      <w:tr w14:paraId="0549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65BB5C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759EDC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00404F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★2）性能参数:IPSec/SSL国密加解密吞吐率≥3000Mbps，最大并发连接数≥30000，整机吞吐≥60Gbps；</w:t>
            </w:r>
          </w:p>
        </w:tc>
        <w:tc>
          <w:tcPr>
            <w:tcW w:w="709" w:type="dxa"/>
            <w:vMerge w:val="continue"/>
            <w:vAlign w:val="center"/>
          </w:tcPr>
          <w:p w14:paraId="653F8CD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20AD99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CE2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8D2879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FA9BA2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D581AE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★3）授权数:SSL-VPN实配并发用户数授权≥3500；</w:t>
            </w:r>
          </w:p>
        </w:tc>
        <w:tc>
          <w:tcPr>
            <w:tcW w:w="709" w:type="dxa"/>
            <w:vMerge w:val="continue"/>
            <w:vAlign w:val="center"/>
          </w:tcPr>
          <w:p w14:paraId="180CDF9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0E99AB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47D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768C0D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8B9C9E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A834A5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★4）支持与本项目采购的密码服务管理系统进行对接；</w:t>
            </w:r>
          </w:p>
        </w:tc>
        <w:tc>
          <w:tcPr>
            <w:tcW w:w="709" w:type="dxa"/>
            <w:vMerge w:val="continue"/>
            <w:vAlign w:val="center"/>
          </w:tcPr>
          <w:p w14:paraId="29C7673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1CE5AC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D66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94907C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1BB089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F44AF3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5）支持与现有最高检身份认证系统实现互信对接；</w:t>
            </w:r>
          </w:p>
        </w:tc>
        <w:tc>
          <w:tcPr>
            <w:tcW w:w="709" w:type="dxa"/>
            <w:vMerge w:val="continue"/>
            <w:vAlign w:val="center"/>
          </w:tcPr>
          <w:p w14:paraId="2903AE1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D39CC7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4B9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F309F4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75B1AD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D2299C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6）支持与最高检安全认证网关实现对接，建立国密Ipsec-VPN通道；适配检察专用浏览器；</w:t>
            </w:r>
          </w:p>
        </w:tc>
        <w:tc>
          <w:tcPr>
            <w:tcW w:w="709" w:type="dxa"/>
            <w:vMerge w:val="continue"/>
            <w:vAlign w:val="center"/>
          </w:tcPr>
          <w:p w14:paraId="73724D0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302927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256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DB9C16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A3C6E0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B55901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7）内置硬件商密加密卡，采用国家商用密码算法实现隧道加密，支持国家商用密码算法包括:SM1/SM2/SM3/SM4；</w:t>
            </w:r>
          </w:p>
        </w:tc>
        <w:tc>
          <w:tcPr>
            <w:tcW w:w="709" w:type="dxa"/>
            <w:vMerge w:val="continue"/>
            <w:vAlign w:val="center"/>
          </w:tcPr>
          <w:p w14:paraId="6C8630E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30FDB1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7A3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EC31B0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DF02EB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23DCAD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8）支持同时开启SSL与IPSec VPN功能；</w:t>
            </w:r>
          </w:p>
        </w:tc>
        <w:tc>
          <w:tcPr>
            <w:tcW w:w="709" w:type="dxa"/>
            <w:vMerge w:val="continue"/>
            <w:vAlign w:val="center"/>
          </w:tcPr>
          <w:p w14:paraId="379AC30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7392DE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3A2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C71E09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7C20F2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ACBD5D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9）支持定期更新工作密钥、会话密钥；</w:t>
            </w:r>
          </w:p>
        </w:tc>
        <w:tc>
          <w:tcPr>
            <w:tcW w:w="709" w:type="dxa"/>
            <w:vMerge w:val="continue"/>
            <w:vAlign w:val="center"/>
          </w:tcPr>
          <w:p w14:paraId="48D6381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D32DF0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946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709164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2A96FC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930E22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10）支持IPSec VPN网关组网功能；</w:t>
            </w:r>
          </w:p>
        </w:tc>
        <w:tc>
          <w:tcPr>
            <w:tcW w:w="709" w:type="dxa"/>
            <w:vMerge w:val="continue"/>
            <w:vAlign w:val="center"/>
          </w:tcPr>
          <w:p w14:paraId="2361D8D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BC9016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049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C1DDB9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07E608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B4A4D7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11）IPsec VPN网关功能支持采用快速压缩算法，保证网络传输速度；</w:t>
            </w:r>
          </w:p>
        </w:tc>
        <w:tc>
          <w:tcPr>
            <w:tcW w:w="709" w:type="dxa"/>
            <w:vMerge w:val="continue"/>
            <w:vAlign w:val="center"/>
          </w:tcPr>
          <w:p w14:paraId="3C89FAE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46BA29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01C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0587D8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DD3D9B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354227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12）支持冗余热备、链路聚合和流量负载；</w:t>
            </w:r>
          </w:p>
        </w:tc>
        <w:tc>
          <w:tcPr>
            <w:tcW w:w="709" w:type="dxa"/>
            <w:vMerge w:val="continue"/>
            <w:vAlign w:val="center"/>
          </w:tcPr>
          <w:p w14:paraId="3DBC261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60E5D4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261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DB83C5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FF013E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8392CA9">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13）支持隧道断开自动重连；</w:t>
            </w:r>
          </w:p>
        </w:tc>
        <w:tc>
          <w:tcPr>
            <w:tcW w:w="709" w:type="dxa"/>
            <w:vMerge w:val="continue"/>
            <w:vAlign w:val="center"/>
          </w:tcPr>
          <w:p w14:paraId="247326C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0A2D8B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B24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441931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2B4598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BDA91A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14）支持全局配置安全检测，针对检测结果支持一键优化或者一键锁定风险配置项；</w:t>
            </w:r>
          </w:p>
        </w:tc>
        <w:tc>
          <w:tcPr>
            <w:tcW w:w="709" w:type="dxa"/>
            <w:vMerge w:val="continue"/>
            <w:vAlign w:val="center"/>
          </w:tcPr>
          <w:p w14:paraId="2B120A0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E16C8D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B6C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A13BB6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20A6F0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553753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15）支持PC终端使用包括银河麒麟V10、欧拉等主流国产化操作系统来登录SSLVPN系统，并完整支持该操作系统下的各种IP层以上的B/S和C/S应用；支持Android、鸿蒙等操作系统的智能手机、平板电脑等移动终端的SSLVPN接入；</w:t>
            </w:r>
          </w:p>
        </w:tc>
        <w:tc>
          <w:tcPr>
            <w:tcW w:w="709" w:type="dxa"/>
            <w:vMerge w:val="continue"/>
            <w:vAlign w:val="center"/>
          </w:tcPr>
          <w:p w14:paraId="3DC4355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B3E2DB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146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39E3A6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834561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AD893A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16）SSLVPN、IPSecVPN同时支持IPv4、IPv6两种类型网络的远程隧道传输；</w:t>
            </w:r>
          </w:p>
        </w:tc>
        <w:tc>
          <w:tcPr>
            <w:tcW w:w="709" w:type="dxa"/>
            <w:vMerge w:val="continue"/>
            <w:vAlign w:val="center"/>
          </w:tcPr>
          <w:p w14:paraId="31A5C7C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FEE3A7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2C8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4C38C4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CE9458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C1E102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17）支持访问控制策略配置，可基于源地址、目的地址、端口、服务、时间的访问控制策略，支持带宽管理策略，支持IP/MAC地址自动探测与绑定；</w:t>
            </w:r>
          </w:p>
        </w:tc>
        <w:tc>
          <w:tcPr>
            <w:tcW w:w="709" w:type="dxa"/>
            <w:vMerge w:val="continue"/>
            <w:vAlign w:val="center"/>
          </w:tcPr>
          <w:p w14:paraId="285FAC6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964957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684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08B46F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A2D8FE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0F555D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18）支持查看在线用户、在线设备和已锁定用户。支持多维度信息展示，包括用户名、用户组、源IP、虚拟IP、认证方式、终端类型、在线时间、流量情况等，支持批量强制在线用户、设备下线，支持批量解锁异常用户。</w:t>
            </w:r>
          </w:p>
        </w:tc>
        <w:tc>
          <w:tcPr>
            <w:tcW w:w="709" w:type="dxa"/>
            <w:vMerge w:val="continue"/>
            <w:vAlign w:val="center"/>
          </w:tcPr>
          <w:p w14:paraId="4EEA442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C44CD4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0EA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0" w:type="auto"/>
            <w:vMerge w:val="restart"/>
            <w:shd w:val="clear" w:color="auto" w:fill="auto"/>
            <w:noWrap/>
            <w:vAlign w:val="center"/>
          </w:tcPr>
          <w:p w14:paraId="7590214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w:t>
            </w:r>
          </w:p>
        </w:tc>
        <w:tc>
          <w:tcPr>
            <w:tcW w:w="1158" w:type="dxa"/>
            <w:vMerge w:val="restart"/>
            <w:shd w:val="clear" w:color="auto" w:fill="auto"/>
            <w:vAlign w:val="center"/>
          </w:tcPr>
          <w:p w14:paraId="35594C6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中高端安全认证网关</w:t>
            </w:r>
          </w:p>
        </w:tc>
        <w:tc>
          <w:tcPr>
            <w:tcW w:w="5083" w:type="dxa"/>
            <w:shd w:val="clear" w:color="auto" w:fill="auto"/>
            <w:vAlign w:val="center"/>
          </w:tcPr>
          <w:p w14:paraId="3DD4DA7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★1）标准硬件设备≥2U，冗余电源；千兆电口≥6个，千兆光口≥2个（包含满配千兆光模块）；</w:t>
            </w:r>
          </w:p>
        </w:tc>
        <w:tc>
          <w:tcPr>
            <w:tcW w:w="709" w:type="dxa"/>
            <w:vMerge w:val="restart"/>
            <w:shd w:val="clear" w:color="auto" w:fill="auto"/>
            <w:noWrap/>
            <w:vAlign w:val="center"/>
          </w:tcPr>
          <w:p w14:paraId="29CDF94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台</w:t>
            </w:r>
          </w:p>
        </w:tc>
        <w:tc>
          <w:tcPr>
            <w:tcW w:w="708" w:type="dxa"/>
            <w:vMerge w:val="restart"/>
            <w:shd w:val="clear" w:color="auto" w:fill="auto"/>
            <w:noWrap/>
            <w:vAlign w:val="center"/>
          </w:tcPr>
          <w:p w14:paraId="5DE0B77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w:t>
            </w:r>
          </w:p>
        </w:tc>
      </w:tr>
      <w:tr w14:paraId="5755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227E27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F27089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780F57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★2）性能参数:</w:t>
            </w:r>
            <w:r>
              <w:rPr>
                <w:rFonts w:hint="eastAsia"/>
                <w:color w:val="000000" w:themeColor="text1"/>
                <w:highlight w:val="none"/>
                <w14:textFill>
                  <w14:solidFill>
                    <w14:schemeClr w14:val="tx1"/>
                  </w14:solidFill>
                </w14:textFill>
              </w:rPr>
              <w:t xml:space="preserve"> </w:t>
            </w:r>
            <w:r>
              <w:rPr>
                <w:rFonts w:hint="eastAsia" w:cs="宋体"/>
                <w:color w:val="000000" w:themeColor="text1"/>
                <w:kern w:val="0"/>
                <w:sz w:val="24"/>
                <w:szCs w:val="22"/>
                <w:highlight w:val="none"/>
                <w14:textFill>
                  <w14:solidFill>
                    <w14:schemeClr w14:val="tx1"/>
                  </w14:solidFill>
                </w14:textFill>
              </w:rPr>
              <w:t>IPSec/SSL国密加解密吞吐率≥600Mbps，最大并发连接数≥7000，整机吞吐≥20Gbps。</w:t>
            </w:r>
          </w:p>
        </w:tc>
        <w:tc>
          <w:tcPr>
            <w:tcW w:w="709" w:type="dxa"/>
            <w:vMerge w:val="continue"/>
            <w:vAlign w:val="center"/>
          </w:tcPr>
          <w:p w14:paraId="19552BE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381D85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606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365165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817245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ADA909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★3）支持与本项目采购的密码服务管理系统进行对接；</w:t>
            </w:r>
          </w:p>
        </w:tc>
        <w:tc>
          <w:tcPr>
            <w:tcW w:w="709" w:type="dxa"/>
            <w:vMerge w:val="continue"/>
            <w:vAlign w:val="center"/>
          </w:tcPr>
          <w:p w14:paraId="7DEA19B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8EA77E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C39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250A6D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B1E603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75D5E5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4）支持与现有最高检身份认证系统实现互信对接；</w:t>
            </w:r>
          </w:p>
        </w:tc>
        <w:tc>
          <w:tcPr>
            <w:tcW w:w="709" w:type="dxa"/>
            <w:vMerge w:val="continue"/>
            <w:vAlign w:val="center"/>
          </w:tcPr>
          <w:p w14:paraId="53FA0DD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AF10AD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DAC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BD2FF3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895FA6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CB54E2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5）支持与最高检安全认证网关实现对接，建立国密Ipsec-VPN通道；适配检察专用浏览器；</w:t>
            </w:r>
          </w:p>
        </w:tc>
        <w:tc>
          <w:tcPr>
            <w:tcW w:w="709" w:type="dxa"/>
            <w:vMerge w:val="continue"/>
            <w:vAlign w:val="center"/>
          </w:tcPr>
          <w:p w14:paraId="4284730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E3CCDB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F1F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058554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7CBE12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388772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6）内置硬件商密加密卡，采用国家商用密码算法实现隧道加密，支持国家商用密码算法包括:SM1/SM2/SM3/SM4；</w:t>
            </w:r>
          </w:p>
        </w:tc>
        <w:tc>
          <w:tcPr>
            <w:tcW w:w="709" w:type="dxa"/>
            <w:vMerge w:val="continue"/>
            <w:vAlign w:val="center"/>
          </w:tcPr>
          <w:p w14:paraId="454F9D3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A4EE12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E82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A12C4B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D10A35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257808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7）支持同时开启SSL与IPSec VPN功能；</w:t>
            </w:r>
          </w:p>
        </w:tc>
        <w:tc>
          <w:tcPr>
            <w:tcW w:w="709" w:type="dxa"/>
            <w:vMerge w:val="continue"/>
            <w:vAlign w:val="center"/>
          </w:tcPr>
          <w:p w14:paraId="11E968F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26BD97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C25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00E985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AF71F1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5718FC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8）支持定期更新工作密钥、会话密钥；</w:t>
            </w:r>
          </w:p>
        </w:tc>
        <w:tc>
          <w:tcPr>
            <w:tcW w:w="709" w:type="dxa"/>
            <w:vMerge w:val="continue"/>
            <w:vAlign w:val="center"/>
          </w:tcPr>
          <w:p w14:paraId="60A4880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3032EC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58E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156E3F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D741DF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AADB4F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9）支持IPSec VPN网关组网功能；</w:t>
            </w:r>
          </w:p>
        </w:tc>
        <w:tc>
          <w:tcPr>
            <w:tcW w:w="709" w:type="dxa"/>
            <w:vMerge w:val="continue"/>
            <w:vAlign w:val="center"/>
          </w:tcPr>
          <w:p w14:paraId="0505333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38A8EA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118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230F16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AA8B9E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5F0BE7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10）IPsec VPN网关功能支持采用快速压缩算法，保证网络传输速度；</w:t>
            </w:r>
          </w:p>
        </w:tc>
        <w:tc>
          <w:tcPr>
            <w:tcW w:w="709" w:type="dxa"/>
            <w:vMerge w:val="continue"/>
            <w:vAlign w:val="center"/>
          </w:tcPr>
          <w:p w14:paraId="0FC6C1A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6FF096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9AC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4D9F22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82C0A8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C9CABA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11）支持冗余热备、链路聚合和流量负载；</w:t>
            </w:r>
          </w:p>
        </w:tc>
        <w:tc>
          <w:tcPr>
            <w:tcW w:w="709" w:type="dxa"/>
            <w:vMerge w:val="continue"/>
            <w:vAlign w:val="center"/>
          </w:tcPr>
          <w:p w14:paraId="5171A12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F40F2B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7A6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4DC59D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470084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8F9ED2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12）支持隧道断开自动重连；</w:t>
            </w:r>
          </w:p>
        </w:tc>
        <w:tc>
          <w:tcPr>
            <w:tcW w:w="709" w:type="dxa"/>
            <w:vMerge w:val="continue"/>
            <w:vAlign w:val="center"/>
          </w:tcPr>
          <w:p w14:paraId="470B997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30BD2E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99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69CAC9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396C26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9AD9CB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13）支持全局配置安全检测，针对检测结果支持一键优化或者一键锁定风险配置项；</w:t>
            </w:r>
          </w:p>
        </w:tc>
        <w:tc>
          <w:tcPr>
            <w:tcW w:w="709" w:type="dxa"/>
            <w:vMerge w:val="continue"/>
            <w:vAlign w:val="center"/>
          </w:tcPr>
          <w:p w14:paraId="7461555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513F46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8B5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57B8E4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00E0DA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62E09D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14）支持PC终端使用包括银河麒麟V10、欧拉等主流国产化操作系统来登录SSLVPN系统，并完整支持该操作系统下的各种IP层以上的B/S和C/S应用；支持Android、鸿蒙等操作系统的智能手机、平板电脑等移动终端的SSLVPN接入；</w:t>
            </w:r>
          </w:p>
        </w:tc>
        <w:tc>
          <w:tcPr>
            <w:tcW w:w="709" w:type="dxa"/>
            <w:vMerge w:val="continue"/>
            <w:vAlign w:val="center"/>
          </w:tcPr>
          <w:p w14:paraId="7F3D79D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4771D8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42F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AF6318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1D7669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F8727E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15）SSLVPN、IPSecVPN同时支持IPv4、IPv6两种类型网络的远程隧道传输；</w:t>
            </w:r>
          </w:p>
        </w:tc>
        <w:tc>
          <w:tcPr>
            <w:tcW w:w="709" w:type="dxa"/>
            <w:vMerge w:val="continue"/>
            <w:vAlign w:val="center"/>
          </w:tcPr>
          <w:p w14:paraId="0F120D6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299DFE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A4F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17B954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D1A8EA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EE03A1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16）支持访问控制策略配置，可基于源地址、目的地址、端口、服务、时间的访问控制策略，支持带宽管理策略，支持IP/MAC地址自动探测与绑定；</w:t>
            </w:r>
          </w:p>
        </w:tc>
        <w:tc>
          <w:tcPr>
            <w:tcW w:w="709" w:type="dxa"/>
            <w:vMerge w:val="continue"/>
            <w:vAlign w:val="center"/>
          </w:tcPr>
          <w:p w14:paraId="3B20995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CA8299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265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2861E0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E3C04E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F9521D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17）支持查看在线用户、在线设备和已锁定用户。支持多维度信息展示，包括用户名、用户组、源IP、虚拟IP、认证方式、终端类型、在线时间、流量情况等，支持批量强制在线用户、设备下线，支持批量解锁异常用户。</w:t>
            </w:r>
          </w:p>
        </w:tc>
        <w:tc>
          <w:tcPr>
            <w:tcW w:w="709" w:type="dxa"/>
            <w:vMerge w:val="continue"/>
            <w:vAlign w:val="center"/>
          </w:tcPr>
          <w:p w14:paraId="5740A5C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624874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C8D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0" w:type="auto"/>
            <w:vMerge w:val="restart"/>
            <w:shd w:val="clear" w:color="auto" w:fill="auto"/>
            <w:noWrap/>
            <w:vAlign w:val="center"/>
          </w:tcPr>
          <w:p w14:paraId="2EA33E7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w:t>
            </w:r>
          </w:p>
        </w:tc>
        <w:tc>
          <w:tcPr>
            <w:tcW w:w="1158" w:type="dxa"/>
            <w:vMerge w:val="restart"/>
            <w:shd w:val="clear" w:color="auto" w:fill="auto"/>
            <w:vAlign w:val="center"/>
          </w:tcPr>
          <w:p w14:paraId="47A1620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中端安全认证网关</w:t>
            </w:r>
          </w:p>
        </w:tc>
        <w:tc>
          <w:tcPr>
            <w:tcW w:w="5083" w:type="dxa"/>
            <w:shd w:val="clear" w:color="auto" w:fill="auto"/>
            <w:vAlign w:val="center"/>
          </w:tcPr>
          <w:p w14:paraId="153B9DB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★1）标准硬件设备≥1U，单电源；千兆电口≥6个，千兆光口≥2个（包含满配千兆光模块）；</w:t>
            </w:r>
          </w:p>
        </w:tc>
        <w:tc>
          <w:tcPr>
            <w:tcW w:w="709" w:type="dxa"/>
            <w:vMerge w:val="restart"/>
            <w:shd w:val="clear" w:color="auto" w:fill="auto"/>
            <w:noWrap/>
            <w:vAlign w:val="center"/>
          </w:tcPr>
          <w:p w14:paraId="2B1E14C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台</w:t>
            </w:r>
          </w:p>
        </w:tc>
        <w:tc>
          <w:tcPr>
            <w:tcW w:w="708" w:type="dxa"/>
            <w:vMerge w:val="restart"/>
            <w:shd w:val="clear" w:color="auto" w:fill="auto"/>
            <w:noWrap/>
            <w:vAlign w:val="center"/>
          </w:tcPr>
          <w:p w14:paraId="3C10D37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w:t>
            </w:r>
          </w:p>
        </w:tc>
      </w:tr>
      <w:tr w14:paraId="53C1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48229D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08C038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6705DD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★2）性能参数:</w:t>
            </w:r>
            <w:r>
              <w:rPr>
                <w:rFonts w:hint="eastAsia"/>
                <w:color w:val="000000" w:themeColor="text1"/>
                <w:highlight w:val="none"/>
                <w14:textFill>
                  <w14:solidFill>
                    <w14:schemeClr w14:val="tx1"/>
                  </w14:solidFill>
                </w14:textFill>
              </w:rPr>
              <w:t>IPSec/SSL国密加解密吞吐率≥400Mbps，最大并发连接数≥2000，整机吞吐≥15Gbps。</w:t>
            </w:r>
          </w:p>
        </w:tc>
        <w:tc>
          <w:tcPr>
            <w:tcW w:w="709" w:type="dxa"/>
            <w:vMerge w:val="continue"/>
            <w:vAlign w:val="center"/>
          </w:tcPr>
          <w:p w14:paraId="7FCD988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D60C06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8D5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5E1335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B7ADFD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3E9985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★3）支持与本项目采购的密码服务管理系统进行对接；</w:t>
            </w:r>
          </w:p>
        </w:tc>
        <w:tc>
          <w:tcPr>
            <w:tcW w:w="709" w:type="dxa"/>
            <w:vMerge w:val="continue"/>
            <w:vAlign w:val="center"/>
          </w:tcPr>
          <w:p w14:paraId="138610A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939C8B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0EA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945B7A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2A26FA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CA1730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4）支持与现有最高检身份认证系统实现互信对接；</w:t>
            </w:r>
          </w:p>
        </w:tc>
        <w:tc>
          <w:tcPr>
            <w:tcW w:w="709" w:type="dxa"/>
            <w:vMerge w:val="continue"/>
            <w:vAlign w:val="center"/>
          </w:tcPr>
          <w:p w14:paraId="68C6402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89756D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1E1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0A866E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77FB1B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8D16E9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5）支持与最高检安全认证网关实现对接，建立国密Ipsec-VPN通道；适配检察专用浏览器；</w:t>
            </w:r>
          </w:p>
        </w:tc>
        <w:tc>
          <w:tcPr>
            <w:tcW w:w="709" w:type="dxa"/>
            <w:vMerge w:val="continue"/>
            <w:vAlign w:val="center"/>
          </w:tcPr>
          <w:p w14:paraId="058D01D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D8C13D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B82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91757D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F917FC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BDF3F9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6）内置硬件商密加密卡，采用国家商用密码算法实现隧道加密，支持国家商用密码算法包括:SM1/SM2/SM3/SM4；</w:t>
            </w:r>
          </w:p>
        </w:tc>
        <w:tc>
          <w:tcPr>
            <w:tcW w:w="709" w:type="dxa"/>
            <w:vMerge w:val="continue"/>
            <w:vAlign w:val="center"/>
          </w:tcPr>
          <w:p w14:paraId="7E9694E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1DAA1E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BD7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B29407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89B79D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F9DE7B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7）支持同时开启SSL与IPSec VPN功能；</w:t>
            </w:r>
          </w:p>
        </w:tc>
        <w:tc>
          <w:tcPr>
            <w:tcW w:w="709" w:type="dxa"/>
            <w:vMerge w:val="continue"/>
            <w:vAlign w:val="center"/>
          </w:tcPr>
          <w:p w14:paraId="07CE998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BE42E7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D45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064876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BAB1F0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ED35579">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8）支持定期更新工作密钥、会话密钥；</w:t>
            </w:r>
          </w:p>
        </w:tc>
        <w:tc>
          <w:tcPr>
            <w:tcW w:w="709" w:type="dxa"/>
            <w:vMerge w:val="continue"/>
            <w:vAlign w:val="center"/>
          </w:tcPr>
          <w:p w14:paraId="2C82C05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F1900E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3AA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817DE8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6C0F50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384DD6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9）支持IPSec VPN网关组网功能；</w:t>
            </w:r>
          </w:p>
        </w:tc>
        <w:tc>
          <w:tcPr>
            <w:tcW w:w="709" w:type="dxa"/>
            <w:vMerge w:val="continue"/>
            <w:vAlign w:val="center"/>
          </w:tcPr>
          <w:p w14:paraId="6B2F1D7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98A8F5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AED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49DBFA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2CD602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BEF6C4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10）IPsec VPN网关功能支持采用快速压缩算法，保证网络传输速度；</w:t>
            </w:r>
          </w:p>
        </w:tc>
        <w:tc>
          <w:tcPr>
            <w:tcW w:w="709" w:type="dxa"/>
            <w:vMerge w:val="continue"/>
            <w:vAlign w:val="center"/>
          </w:tcPr>
          <w:p w14:paraId="5B198FA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EA9960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5D0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691644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2BFFB4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A17178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11）支持冗余热备、链路聚合和流量负载；</w:t>
            </w:r>
          </w:p>
        </w:tc>
        <w:tc>
          <w:tcPr>
            <w:tcW w:w="709" w:type="dxa"/>
            <w:vMerge w:val="continue"/>
            <w:vAlign w:val="center"/>
          </w:tcPr>
          <w:p w14:paraId="12EE55E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C618FA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20C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31344A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53DA72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942D0B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12）支持隧道断开自动重连；</w:t>
            </w:r>
          </w:p>
        </w:tc>
        <w:tc>
          <w:tcPr>
            <w:tcW w:w="709" w:type="dxa"/>
            <w:vMerge w:val="continue"/>
            <w:vAlign w:val="center"/>
          </w:tcPr>
          <w:p w14:paraId="234D1FB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0C6B4A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99C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E40FD0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E390F6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E10AC1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13）支持全局配置安全检测，针对检测结果支持一键优化或者一键锁定风险配置项；</w:t>
            </w:r>
          </w:p>
        </w:tc>
        <w:tc>
          <w:tcPr>
            <w:tcW w:w="709" w:type="dxa"/>
            <w:vMerge w:val="continue"/>
            <w:vAlign w:val="center"/>
          </w:tcPr>
          <w:p w14:paraId="60A61D9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FC9BE7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B12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5D3AAA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446E2B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E74981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14）支持PC终端使用包括银河麒麟V10、欧拉等主流国产化操作系统来登录SSLVPN系统，并完整支持该操作系统下的各种IP层以上的B/S和C/S应用；支持Android、鸿蒙等操作系统的智能手机、平板电脑等移动终端的SSLVPN接入；</w:t>
            </w:r>
          </w:p>
        </w:tc>
        <w:tc>
          <w:tcPr>
            <w:tcW w:w="709" w:type="dxa"/>
            <w:vMerge w:val="continue"/>
            <w:vAlign w:val="center"/>
          </w:tcPr>
          <w:p w14:paraId="49FA9B3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E2275E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693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6C9DA2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8C3CB6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A5E630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15）SSLVPN、IPSecVPN同时支持IPv4、IPv6两种类型网络的远程隧道传输；</w:t>
            </w:r>
          </w:p>
        </w:tc>
        <w:tc>
          <w:tcPr>
            <w:tcW w:w="709" w:type="dxa"/>
            <w:vMerge w:val="continue"/>
            <w:vAlign w:val="center"/>
          </w:tcPr>
          <w:p w14:paraId="720A5AC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24AB1C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D95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61D91F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774C96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65F621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16）支持访问控制策略配置，可基于源地址、目的地址、端口、服务、时间的访问控制策略，支持带宽管理策略，支持IP/MAC地址自动探测与绑定；</w:t>
            </w:r>
          </w:p>
        </w:tc>
        <w:tc>
          <w:tcPr>
            <w:tcW w:w="709" w:type="dxa"/>
            <w:vMerge w:val="continue"/>
            <w:vAlign w:val="center"/>
          </w:tcPr>
          <w:p w14:paraId="4443C96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79155C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3EC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0A51B6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919324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6A9E0C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17）支持查看在线用户、在线设备和已锁定用户。支持多维度信息展示，包括用户名、用户组、源IP、虚拟IP、认证方式、终端类型、在线时间、流量情况等，支持批量强制在线用户、设备下线，支持批量解锁异常用户。</w:t>
            </w:r>
          </w:p>
        </w:tc>
        <w:tc>
          <w:tcPr>
            <w:tcW w:w="709" w:type="dxa"/>
            <w:vMerge w:val="continue"/>
            <w:vAlign w:val="center"/>
          </w:tcPr>
          <w:p w14:paraId="2E20E63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F2CC77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143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0" w:type="auto"/>
            <w:vMerge w:val="restart"/>
            <w:shd w:val="clear" w:color="auto" w:fill="auto"/>
            <w:noWrap/>
            <w:vAlign w:val="center"/>
          </w:tcPr>
          <w:p w14:paraId="217C81A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w:t>
            </w:r>
          </w:p>
        </w:tc>
        <w:tc>
          <w:tcPr>
            <w:tcW w:w="1158" w:type="dxa"/>
            <w:vMerge w:val="restart"/>
            <w:shd w:val="clear" w:color="auto" w:fill="auto"/>
            <w:vAlign w:val="center"/>
          </w:tcPr>
          <w:p w14:paraId="408733B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低端安全认证网关</w:t>
            </w:r>
          </w:p>
        </w:tc>
        <w:tc>
          <w:tcPr>
            <w:tcW w:w="5083" w:type="dxa"/>
            <w:shd w:val="clear" w:color="auto" w:fill="auto"/>
            <w:vAlign w:val="center"/>
          </w:tcPr>
          <w:p w14:paraId="1DD8E9D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★1）标准硬件设备≥1U，单电源；千兆电口≥6个；</w:t>
            </w:r>
          </w:p>
        </w:tc>
        <w:tc>
          <w:tcPr>
            <w:tcW w:w="709" w:type="dxa"/>
            <w:vMerge w:val="restart"/>
            <w:shd w:val="clear" w:color="auto" w:fill="auto"/>
            <w:noWrap/>
            <w:vAlign w:val="center"/>
          </w:tcPr>
          <w:p w14:paraId="258F096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台</w:t>
            </w:r>
          </w:p>
        </w:tc>
        <w:tc>
          <w:tcPr>
            <w:tcW w:w="708" w:type="dxa"/>
            <w:vMerge w:val="restart"/>
            <w:shd w:val="clear" w:color="auto" w:fill="auto"/>
            <w:noWrap/>
            <w:vAlign w:val="center"/>
          </w:tcPr>
          <w:p w14:paraId="7B68DF1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w:t>
            </w:r>
          </w:p>
        </w:tc>
      </w:tr>
      <w:tr w14:paraId="5222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3F948C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D6A7D8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95F351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★2）性能参数:</w:t>
            </w:r>
            <w:r>
              <w:rPr>
                <w:rFonts w:hint="eastAsia"/>
                <w:color w:val="000000" w:themeColor="text1"/>
                <w:highlight w:val="none"/>
                <w14:textFill>
                  <w14:solidFill>
                    <w14:schemeClr w14:val="tx1"/>
                  </w14:solidFill>
                </w14:textFill>
              </w:rPr>
              <w:t xml:space="preserve"> IPSec/SSL国密加解密吞吐率≥300Mbps，最大并发连接数≥1000，整机吞吐≥5Gbps。</w:t>
            </w:r>
          </w:p>
        </w:tc>
        <w:tc>
          <w:tcPr>
            <w:tcW w:w="709" w:type="dxa"/>
            <w:vMerge w:val="continue"/>
            <w:vAlign w:val="center"/>
          </w:tcPr>
          <w:p w14:paraId="0485AC8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737C8E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6D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2B52A2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B1E72D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A28215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★3）支持与本项目采购的密码服务管理系统进行对接；</w:t>
            </w:r>
          </w:p>
        </w:tc>
        <w:tc>
          <w:tcPr>
            <w:tcW w:w="709" w:type="dxa"/>
            <w:vMerge w:val="continue"/>
            <w:vAlign w:val="center"/>
          </w:tcPr>
          <w:p w14:paraId="709480F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C23722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8C8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D3009E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6F92C4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0236FC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4）支持与现有最高检身份认证系统实现互信对接；</w:t>
            </w:r>
          </w:p>
        </w:tc>
        <w:tc>
          <w:tcPr>
            <w:tcW w:w="709" w:type="dxa"/>
            <w:vMerge w:val="continue"/>
            <w:vAlign w:val="center"/>
          </w:tcPr>
          <w:p w14:paraId="6A84585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23F12F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986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54ACFE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217AB0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1086BD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5）支持与最高检安全认证网关实现对接，建立国密Ipsec-VPN通道；适配检察专用浏览器；</w:t>
            </w:r>
          </w:p>
        </w:tc>
        <w:tc>
          <w:tcPr>
            <w:tcW w:w="709" w:type="dxa"/>
            <w:vMerge w:val="continue"/>
            <w:vAlign w:val="center"/>
          </w:tcPr>
          <w:p w14:paraId="7B1E7B4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B6B96D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F2E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9C056A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2C8656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CE8325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6）内置硬件商密加密卡，采用国家商用密码算法实现隧道加密，支持国家商用密码算法包括:SM1/SM2/SM3/SM4；</w:t>
            </w:r>
          </w:p>
        </w:tc>
        <w:tc>
          <w:tcPr>
            <w:tcW w:w="709" w:type="dxa"/>
            <w:vMerge w:val="continue"/>
            <w:vAlign w:val="center"/>
          </w:tcPr>
          <w:p w14:paraId="12DFCD0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EC88F4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C91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7A7207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194A57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E9B5C0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7）支持同时开启SSL与IPSec VPN功能；</w:t>
            </w:r>
          </w:p>
        </w:tc>
        <w:tc>
          <w:tcPr>
            <w:tcW w:w="709" w:type="dxa"/>
            <w:vMerge w:val="continue"/>
            <w:vAlign w:val="center"/>
          </w:tcPr>
          <w:p w14:paraId="6925738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CCE975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282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A98F5C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918F26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D18854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8）支持定期更新工作密钥、会话密钥；</w:t>
            </w:r>
          </w:p>
        </w:tc>
        <w:tc>
          <w:tcPr>
            <w:tcW w:w="709" w:type="dxa"/>
            <w:vMerge w:val="continue"/>
            <w:vAlign w:val="center"/>
          </w:tcPr>
          <w:p w14:paraId="50BECF0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31973F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9DC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0EEEAA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8AC0FA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BE192D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9）支持IPSec VPN网关组网功能；</w:t>
            </w:r>
          </w:p>
        </w:tc>
        <w:tc>
          <w:tcPr>
            <w:tcW w:w="709" w:type="dxa"/>
            <w:vMerge w:val="continue"/>
            <w:vAlign w:val="center"/>
          </w:tcPr>
          <w:p w14:paraId="77CA669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ACF9D8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079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E0F6C6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0BD683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D54729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10）IPsec VPN网关功能支持采用快速压缩算法，保证网络传输速度；</w:t>
            </w:r>
          </w:p>
        </w:tc>
        <w:tc>
          <w:tcPr>
            <w:tcW w:w="709" w:type="dxa"/>
            <w:vMerge w:val="continue"/>
            <w:vAlign w:val="center"/>
          </w:tcPr>
          <w:p w14:paraId="2BBD6F9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D6FAE2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23B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18DB80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4DAEF9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E25588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11）支持冗余热备、链路聚合和流量负载；</w:t>
            </w:r>
          </w:p>
        </w:tc>
        <w:tc>
          <w:tcPr>
            <w:tcW w:w="709" w:type="dxa"/>
            <w:vMerge w:val="continue"/>
            <w:vAlign w:val="center"/>
          </w:tcPr>
          <w:p w14:paraId="49C21E9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71B6D4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A29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1A7FBD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4764C4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959882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12）支持隧道断开自动重连；</w:t>
            </w:r>
          </w:p>
        </w:tc>
        <w:tc>
          <w:tcPr>
            <w:tcW w:w="709" w:type="dxa"/>
            <w:vMerge w:val="continue"/>
            <w:vAlign w:val="center"/>
          </w:tcPr>
          <w:p w14:paraId="4AC90EC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E4863C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5F1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15B4F3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6FB26F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C134CE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13）支持全局配置安全检测，针对检测结果支持一键优化或者一键锁定风险配置项；</w:t>
            </w:r>
          </w:p>
        </w:tc>
        <w:tc>
          <w:tcPr>
            <w:tcW w:w="709" w:type="dxa"/>
            <w:vMerge w:val="continue"/>
            <w:vAlign w:val="center"/>
          </w:tcPr>
          <w:p w14:paraId="5B79A6C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4FFD74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994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2CE0F8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636A2E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9156C1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14）支持PC终端使用包括银河麒麟V10、欧拉等主流国产化操作系统来登录SSLVPN系统，并完整支持该操作系统下的各种IP层以上的B/S和C/S应用；支持Android、鸿蒙等操作系统的智能手机、平板电脑等移动终端的SSLVPN接入；</w:t>
            </w:r>
          </w:p>
        </w:tc>
        <w:tc>
          <w:tcPr>
            <w:tcW w:w="709" w:type="dxa"/>
            <w:vMerge w:val="continue"/>
            <w:vAlign w:val="center"/>
          </w:tcPr>
          <w:p w14:paraId="55E069D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D498C3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F95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F72127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63AE51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C72EA2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15）SSLVPN、IPSecVPN同时支持IPv4、IPv6两种类型网络的远程隧道传输；</w:t>
            </w:r>
          </w:p>
        </w:tc>
        <w:tc>
          <w:tcPr>
            <w:tcW w:w="709" w:type="dxa"/>
            <w:vMerge w:val="continue"/>
            <w:vAlign w:val="center"/>
          </w:tcPr>
          <w:p w14:paraId="5F8EF69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A9635A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AF1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48A088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E76CDD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EC4331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16）支持访问控制策略配置，可基于源地址、目的地址、端口、服务、时间的访问控制策略，支持带宽管理策略，支持IP/MAC地址自动探测与绑定；</w:t>
            </w:r>
          </w:p>
        </w:tc>
        <w:tc>
          <w:tcPr>
            <w:tcW w:w="709" w:type="dxa"/>
            <w:vMerge w:val="continue"/>
            <w:vAlign w:val="center"/>
          </w:tcPr>
          <w:p w14:paraId="07E8956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0B7818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A1C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vAlign w:val="center"/>
          </w:tcPr>
          <w:p w14:paraId="2BFFF44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54BD49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927D0A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17）支持查看在线用户、在线设备和已锁定用户。支持多维度信息展示，包括用户名、用户组、源IP、虚拟IP、认证方式、终端类型、在线时间、流量情况等，支持批量强制在线用户、设备下线，支持批量解锁异常用户。</w:t>
            </w:r>
          </w:p>
        </w:tc>
        <w:tc>
          <w:tcPr>
            <w:tcW w:w="709" w:type="dxa"/>
            <w:vMerge w:val="continue"/>
            <w:vAlign w:val="center"/>
          </w:tcPr>
          <w:p w14:paraId="277B86E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8F3C01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9F1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0" w:type="auto"/>
            <w:vMerge w:val="restart"/>
            <w:shd w:val="clear" w:color="auto" w:fill="auto"/>
            <w:noWrap/>
            <w:vAlign w:val="center"/>
          </w:tcPr>
          <w:p w14:paraId="3CD44DF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w:t>
            </w:r>
          </w:p>
        </w:tc>
        <w:tc>
          <w:tcPr>
            <w:tcW w:w="1158" w:type="dxa"/>
            <w:vMerge w:val="restart"/>
            <w:shd w:val="clear" w:color="auto" w:fill="auto"/>
            <w:vAlign w:val="center"/>
          </w:tcPr>
          <w:p w14:paraId="37C0520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服务器密码机</w:t>
            </w:r>
          </w:p>
        </w:tc>
        <w:tc>
          <w:tcPr>
            <w:tcW w:w="5083" w:type="dxa"/>
            <w:shd w:val="clear" w:color="auto" w:fill="auto"/>
            <w:vAlign w:val="center"/>
          </w:tcPr>
          <w:p w14:paraId="68189B9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★1）标准硬件设备≥2U，双电源；千兆电口≥2个，万兆光口≥2个（包含满配万兆光模块）；</w:t>
            </w:r>
          </w:p>
        </w:tc>
        <w:tc>
          <w:tcPr>
            <w:tcW w:w="709" w:type="dxa"/>
            <w:vMerge w:val="restart"/>
            <w:shd w:val="clear" w:color="auto" w:fill="auto"/>
            <w:noWrap/>
            <w:vAlign w:val="center"/>
          </w:tcPr>
          <w:p w14:paraId="13157B5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台</w:t>
            </w:r>
          </w:p>
        </w:tc>
        <w:tc>
          <w:tcPr>
            <w:tcW w:w="708" w:type="dxa"/>
            <w:vMerge w:val="restart"/>
            <w:shd w:val="clear" w:color="auto" w:fill="auto"/>
            <w:noWrap/>
            <w:vAlign w:val="center"/>
          </w:tcPr>
          <w:p w14:paraId="3A28CA9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w:t>
            </w:r>
          </w:p>
        </w:tc>
      </w:tr>
      <w:tr w14:paraId="723E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71387F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3549B0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FCD06A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★2）SM4算法加解密速率≥6500Mbps；每秒新建连接数≥700，最大并发连接数≥4000。</w:t>
            </w:r>
          </w:p>
        </w:tc>
        <w:tc>
          <w:tcPr>
            <w:tcW w:w="709" w:type="dxa"/>
            <w:vMerge w:val="continue"/>
            <w:vAlign w:val="center"/>
          </w:tcPr>
          <w:p w14:paraId="7785391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CEB198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AF8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BDD511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47C08A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565359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★3）支持与本项目采购的密码服务管理系统进行对接；</w:t>
            </w:r>
          </w:p>
        </w:tc>
        <w:tc>
          <w:tcPr>
            <w:tcW w:w="709" w:type="dxa"/>
            <w:vMerge w:val="continue"/>
            <w:vAlign w:val="center"/>
          </w:tcPr>
          <w:p w14:paraId="56C6389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D7635C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A92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851381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EE1952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F231DD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4）支持与现有最高检身份认证系统实现互信对接；</w:t>
            </w:r>
          </w:p>
        </w:tc>
        <w:tc>
          <w:tcPr>
            <w:tcW w:w="709" w:type="dxa"/>
            <w:vMerge w:val="continue"/>
            <w:vAlign w:val="center"/>
          </w:tcPr>
          <w:p w14:paraId="213C3E1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F2787D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A6F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C87271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7F3D21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FCF4DF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5）支持SM1、SM2、SM3、SM4、SM9等国密算法；</w:t>
            </w:r>
          </w:p>
        </w:tc>
        <w:tc>
          <w:tcPr>
            <w:tcW w:w="709" w:type="dxa"/>
            <w:vMerge w:val="continue"/>
            <w:vAlign w:val="center"/>
          </w:tcPr>
          <w:p w14:paraId="4EEECA8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9DBA5A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1BF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45DDF9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05767E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4396CF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6）密钥的安全存储功能，并且私钥部分受系统保护密钥的加密保护获取私钥权限；</w:t>
            </w:r>
          </w:p>
        </w:tc>
        <w:tc>
          <w:tcPr>
            <w:tcW w:w="709" w:type="dxa"/>
            <w:vMerge w:val="continue"/>
            <w:vAlign w:val="center"/>
          </w:tcPr>
          <w:p w14:paraId="6A16497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40C951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D27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367FD0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76281A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915DA6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7）根据需要使用内部存储的SM2私钥或外部SM2私钥进行数字签名和验签SM2内部签名；</w:t>
            </w:r>
            <w:r>
              <w:rPr>
                <w:rFonts w:cs="宋体"/>
                <w:color w:val="000000" w:themeColor="text1"/>
                <w:kern w:val="0"/>
                <w:sz w:val="24"/>
                <w:szCs w:val="22"/>
                <w:highlight w:val="none"/>
                <w14:textFill>
                  <w14:solidFill>
                    <w14:schemeClr w14:val="tx1"/>
                  </w14:solidFill>
                </w14:textFill>
              </w:rPr>
              <w:t xml:space="preserve"> </w:t>
            </w:r>
          </w:p>
        </w:tc>
        <w:tc>
          <w:tcPr>
            <w:tcW w:w="709" w:type="dxa"/>
            <w:vMerge w:val="continue"/>
            <w:vAlign w:val="center"/>
          </w:tcPr>
          <w:p w14:paraId="5667CA3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6C4F63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434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480E4C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FD488A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78AF530">
            <w:pPr>
              <w:widowControl/>
              <w:adjustRightInd w:val="0"/>
              <w:snapToGrid w:val="0"/>
              <w:rPr>
                <w:rFonts w:cs="宋体"/>
                <w:color w:val="000000" w:themeColor="text1"/>
                <w:kern w:val="0"/>
                <w:sz w:val="24"/>
                <w:szCs w:val="22"/>
                <w:highlight w:val="none"/>
                <w14:textFill>
                  <w14:solidFill>
                    <w14:schemeClr w14:val="tx1"/>
                  </w14:solidFill>
                </w14:textFill>
              </w:rPr>
            </w:pPr>
            <w:bookmarkStart w:id="7" w:name="RANGE!D98"/>
            <w:r>
              <w:rPr>
                <w:rFonts w:hint="eastAsia" w:cs="宋体"/>
                <w:color w:val="000000" w:themeColor="text1"/>
                <w:kern w:val="0"/>
                <w:sz w:val="24"/>
                <w:szCs w:val="22"/>
                <w:highlight w:val="none"/>
                <w14:textFill>
                  <w14:solidFill>
                    <w14:schemeClr w14:val="tx1"/>
                  </w14:solidFill>
                </w14:textFill>
              </w:rPr>
              <w:t>8）支持通过设备内密码卡物理噪声源生成和存储SM2密钥对,SM2密钥≥50000对；</w:t>
            </w:r>
            <w:bookmarkEnd w:id="7"/>
          </w:p>
        </w:tc>
        <w:tc>
          <w:tcPr>
            <w:tcW w:w="709" w:type="dxa"/>
            <w:vMerge w:val="continue"/>
            <w:vAlign w:val="center"/>
          </w:tcPr>
          <w:p w14:paraId="08ED04B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7DA7E8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03C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9CF4C8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0B6ED6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4BE113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9）支持消息摘要、对称密钥加解密、非对称密钥加解密、非对称密钥签名验签、消息鉴别码的产生及验证功能（包括CMAC、GMAC、HMAC）；</w:t>
            </w:r>
          </w:p>
        </w:tc>
        <w:tc>
          <w:tcPr>
            <w:tcW w:w="709" w:type="dxa"/>
            <w:vMerge w:val="continue"/>
            <w:vAlign w:val="center"/>
          </w:tcPr>
          <w:p w14:paraId="0AA61B9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17CEA7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250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71114F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55D0C0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DA38EB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10）提供应用层数据加/解密、消息来源正确性验证、密钥管理等功能；支持生成SM2密钥对，密码机内可存储对称钥、SM2密钥对，并且私钥部分受系统保护密钥的加密保护；</w:t>
            </w:r>
          </w:p>
        </w:tc>
        <w:tc>
          <w:tcPr>
            <w:tcW w:w="709" w:type="dxa"/>
            <w:vMerge w:val="continue"/>
            <w:vAlign w:val="center"/>
          </w:tcPr>
          <w:p w14:paraId="56A797A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671442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79D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864D43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F2D421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64CD0C9">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11）具有用户管理功能，对访问用户分级管理，使用智能密码钥匙作为管理介质提高密码设备自身的安全性。</w:t>
            </w:r>
          </w:p>
        </w:tc>
        <w:tc>
          <w:tcPr>
            <w:tcW w:w="709" w:type="dxa"/>
            <w:vMerge w:val="continue"/>
            <w:vAlign w:val="center"/>
          </w:tcPr>
          <w:p w14:paraId="6BF2687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D9F697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77C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noWrap/>
            <w:vAlign w:val="center"/>
          </w:tcPr>
          <w:p w14:paraId="7968300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w:t>
            </w:r>
          </w:p>
        </w:tc>
        <w:tc>
          <w:tcPr>
            <w:tcW w:w="1158" w:type="dxa"/>
            <w:vMerge w:val="restart"/>
            <w:shd w:val="clear" w:color="auto" w:fill="auto"/>
            <w:vAlign w:val="center"/>
          </w:tcPr>
          <w:p w14:paraId="2D07F2D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签名验签服务器</w:t>
            </w:r>
          </w:p>
        </w:tc>
        <w:tc>
          <w:tcPr>
            <w:tcW w:w="5083" w:type="dxa"/>
            <w:shd w:val="clear" w:color="auto" w:fill="auto"/>
            <w:vAlign w:val="center"/>
          </w:tcPr>
          <w:p w14:paraId="24FBB15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★1）标准硬件设备≥1U，冗余电源；千兆电口≥6个，千兆光口≥4个，万兆光口≥2个（包含满配万兆光模块）；</w:t>
            </w:r>
          </w:p>
        </w:tc>
        <w:tc>
          <w:tcPr>
            <w:tcW w:w="709" w:type="dxa"/>
            <w:vMerge w:val="restart"/>
            <w:shd w:val="clear" w:color="auto" w:fill="auto"/>
            <w:noWrap/>
            <w:vAlign w:val="center"/>
          </w:tcPr>
          <w:p w14:paraId="66CE456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台</w:t>
            </w:r>
          </w:p>
        </w:tc>
        <w:tc>
          <w:tcPr>
            <w:tcW w:w="708" w:type="dxa"/>
            <w:vMerge w:val="restart"/>
            <w:shd w:val="clear" w:color="auto" w:fill="auto"/>
            <w:noWrap/>
            <w:vAlign w:val="center"/>
          </w:tcPr>
          <w:p w14:paraId="12490CC9">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w:t>
            </w:r>
          </w:p>
        </w:tc>
      </w:tr>
      <w:tr w14:paraId="027E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1E571C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A499D3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521A90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★2）SM2签名速率≥40000次/秒，SM2验签速率≥20000次/秒，最大并发连接数≥12000；</w:t>
            </w:r>
          </w:p>
        </w:tc>
        <w:tc>
          <w:tcPr>
            <w:tcW w:w="709" w:type="dxa"/>
            <w:vMerge w:val="continue"/>
            <w:vAlign w:val="center"/>
          </w:tcPr>
          <w:p w14:paraId="575EBED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8CC58F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EBF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A0E0CF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814B35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D308C8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★3）支持与本项目采购的密码服务管理系统进行对接；</w:t>
            </w:r>
          </w:p>
        </w:tc>
        <w:tc>
          <w:tcPr>
            <w:tcW w:w="709" w:type="dxa"/>
            <w:vMerge w:val="continue"/>
            <w:vAlign w:val="center"/>
          </w:tcPr>
          <w:p w14:paraId="7A8D2B2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4BC817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7EF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7E2BC2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059F8D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6AD336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4）支持与现有最高检身份认证系统实现互信对接；</w:t>
            </w:r>
          </w:p>
        </w:tc>
        <w:tc>
          <w:tcPr>
            <w:tcW w:w="709" w:type="dxa"/>
            <w:vMerge w:val="continue"/>
            <w:vAlign w:val="center"/>
          </w:tcPr>
          <w:p w14:paraId="4D9A506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40AA88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4F7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B07979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D507B8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3A1241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使用商密SM2算法的数字签名和验签服务，支持注册应用实体并为其产生签名密钥对和证书请求，支持导入应用实体的签名证书、加密证书和加密密钥对，提供证书存储、更新和验证功能，对证书和密钥等数据提供备份恢复功能；</w:t>
            </w:r>
          </w:p>
        </w:tc>
        <w:tc>
          <w:tcPr>
            <w:tcW w:w="709" w:type="dxa"/>
            <w:vMerge w:val="continue"/>
            <w:vAlign w:val="center"/>
          </w:tcPr>
          <w:p w14:paraId="27F386D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487B35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0E1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26609D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F94E46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E0B5F6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6）提供数据签名与签名验证功能，支持pkcs1/Pkcs7、attach/Pkcs7、detach/xml、Sign等多种格式的数字签名和数字签名验证功能；</w:t>
            </w:r>
          </w:p>
        </w:tc>
        <w:tc>
          <w:tcPr>
            <w:tcW w:w="709" w:type="dxa"/>
            <w:vMerge w:val="continue"/>
            <w:vAlign w:val="center"/>
          </w:tcPr>
          <w:p w14:paraId="45586C7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C457D3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272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47A044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80399B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D2C237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7）提供基于数字证书的身份认证功能，支持不同CA的证书验证，可自动更新证书黑名单，采用动态更新方式，无需重启服务；</w:t>
            </w:r>
          </w:p>
        </w:tc>
        <w:tc>
          <w:tcPr>
            <w:tcW w:w="709" w:type="dxa"/>
            <w:vMerge w:val="continue"/>
            <w:vAlign w:val="center"/>
          </w:tcPr>
          <w:p w14:paraId="3158A7D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12B3A9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E4A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7A0D72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069DB8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817183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8）提供证书解析功能，获取证书中的任意主题信息以及扩展项信息；提供证书存储功能，实现对客户端证书的存储，管理员可以通过页面进行证书导入和查找，业务系统可以通过接口获取已存储的证书；</w:t>
            </w:r>
          </w:p>
        </w:tc>
        <w:tc>
          <w:tcPr>
            <w:tcW w:w="709" w:type="dxa"/>
            <w:vMerge w:val="continue"/>
            <w:vAlign w:val="center"/>
          </w:tcPr>
          <w:p w14:paraId="4908D7D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34D0F1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F658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8B0E06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49D7BB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89F694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9）提供备份恢复功能，可以备份设备当前所有配置，保证系统瘫痪时的快速恢复；支持以SYSLOG等方式发送日志到指定服务器。</w:t>
            </w:r>
          </w:p>
        </w:tc>
        <w:tc>
          <w:tcPr>
            <w:tcW w:w="709" w:type="dxa"/>
            <w:vMerge w:val="continue"/>
            <w:vAlign w:val="center"/>
          </w:tcPr>
          <w:p w14:paraId="2696AE2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DA49E9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49A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0" w:type="auto"/>
            <w:vMerge w:val="restart"/>
            <w:shd w:val="clear" w:color="auto" w:fill="auto"/>
            <w:noWrap/>
            <w:vAlign w:val="center"/>
          </w:tcPr>
          <w:p w14:paraId="659B3810">
            <w:pPr>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w:t>
            </w:r>
          </w:p>
        </w:tc>
        <w:tc>
          <w:tcPr>
            <w:tcW w:w="1158" w:type="dxa"/>
            <w:vMerge w:val="restart"/>
            <w:shd w:val="clear" w:color="auto" w:fill="auto"/>
            <w:vAlign w:val="center"/>
          </w:tcPr>
          <w:p w14:paraId="0EC2B1A8">
            <w:pPr>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堡垒机(运维审计系统)</w:t>
            </w:r>
          </w:p>
        </w:tc>
        <w:tc>
          <w:tcPr>
            <w:tcW w:w="5083" w:type="dxa"/>
            <w:shd w:val="clear" w:color="auto" w:fill="auto"/>
            <w:vAlign w:val="center"/>
          </w:tcPr>
          <w:p w14:paraId="5E26267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★1）标准硬件设备≥1U；千兆电口≥6个，内存≥8G，硬盘≥500G；</w:t>
            </w:r>
          </w:p>
        </w:tc>
        <w:tc>
          <w:tcPr>
            <w:tcW w:w="709" w:type="dxa"/>
            <w:vMerge w:val="restart"/>
            <w:shd w:val="clear" w:color="auto" w:fill="auto"/>
            <w:noWrap/>
            <w:vAlign w:val="center"/>
          </w:tcPr>
          <w:p w14:paraId="789E720D">
            <w:pPr>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台</w:t>
            </w:r>
          </w:p>
        </w:tc>
        <w:tc>
          <w:tcPr>
            <w:tcW w:w="708" w:type="dxa"/>
            <w:vMerge w:val="restart"/>
            <w:shd w:val="clear" w:color="auto" w:fill="auto"/>
            <w:noWrap/>
            <w:vAlign w:val="center"/>
          </w:tcPr>
          <w:p w14:paraId="718A6038">
            <w:pPr>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w:t>
            </w:r>
          </w:p>
        </w:tc>
      </w:tr>
      <w:tr w14:paraId="72A3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C028F1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93846E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F05458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★2）字符并发≥2000，图形并发≥500；</w:t>
            </w:r>
          </w:p>
        </w:tc>
        <w:tc>
          <w:tcPr>
            <w:tcW w:w="709" w:type="dxa"/>
            <w:vMerge w:val="continue"/>
            <w:vAlign w:val="center"/>
          </w:tcPr>
          <w:p w14:paraId="6848AFD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78FCC7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8AB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BF819A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7FD241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55F3D7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★3）授权数:实配被管资源数量≥2000；</w:t>
            </w:r>
          </w:p>
        </w:tc>
        <w:tc>
          <w:tcPr>
            <w:tcW w:w="709" w:type="dxa"/>
            <w:vMerge w:val="continue"/>
            <w:vAlign w:val="center"/>
          </w:tcPr>
          <w:p w14:paraId="41C591F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37C754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EED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FA9462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BF5820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489953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★4）支持与本项目采购的密码服务管理系统进行对接；</w:t>
            </w:r>
          </w:p>
        </w:tc>
        <w:tc>
          <w:tcPr>
            <w:tcW w:w="709" w:type="dxa"/>
            <w:vMerge w:val="continue"/>
            <w:vAlign w:val="center"/>
          </w:tcPr>
          <w:p w14:paraId="6D2F319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68DF49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1FD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74448A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1A314F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869193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5）支持与现有最高检身份认证系统实现互信对接；</w:t>
            </w:r>
          </w:p>
        </w:tc>
        <w:tc>
          <w:tcPr>
            <w:tcW w:w="709" w:type="dxa"/>
            <w:vMerge w:val="continue"/>
            <w:vAlign w:val="center"/>
          </w:tcPr>
          <w:p w14:paraId="02F8E44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15AC32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F36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095FE6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54E7F4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F74AA6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6）支持在IPV4、IPV6、IPV4与IPV6网络环境下部署；</w:t>
            </w:r>
          </w:p>
        </w:tc>
        <w:tc>
          <w:tcPr>
            <w:tcW w:w="709" w:type="dxa"/>
            <w:vMerge w:val="continue"/>
            <w:vAlign w:val="center"/>
          </w:tcPr>
          <w:p w14:paraId="19BAA19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7D4F13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56E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6FD7AA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556ABC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9091F6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7）支持管理员帐号设置双因认证、IP/MAC限制，提升帐号安全性；</w:t>
            </w:r>
          </w:p>
        </w:tc>
        <w:tc>
          <w:tcPr>
            <w:tcW w:w="709" w:type="dxa"/>
            <w:vMerge w:val="continue"/>
            <w:vAlign w:val="center"/>
          </w:tcPr>
          <w:p w14:paraId="3E07778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F817B9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AE5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04F459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C2D013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594EC5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8）支持用户客户端IP和MAC限制，支持黑、白名单两种工作模式；</w:t>
            </w:r>
          </w:p>
        </w:tc>
        <w:tc>
          <w:tcPr>
            <w:tcW w:w="709" w:type="dxa"/>
            <w:vMerge w:val="continue"/>
            <w:vAlign w:val="center"/>
          </w:tcPr>
          <w:p w14:paraId="2D3B3FB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5070F5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BF1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8E605B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B752F3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9A0471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9）支持限定配置中可指定用户通过指定的应用发布服务器对资源进行访问；</w:t>
            </w:r>
          </w:p>
        </w:tc>
        <w:tc>
          <w:tcPr>
            <w:tcW w:w="709" w:type="dxa"/>
            <w:vMerge w:val="continue"/>
            <w:vAlign w:val="center"/>
          </w:tcPr>
          <w:p w14:paraId="44D4F4F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8C72C0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D18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90617C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9CA90B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B1FC16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10）支持在达梦数据库运维，运维人员对变量进行绑定，执行SQL后，堡垒机系统可审计对应SQL中唯一标识符的具体值，协助审计员分析安全事件；</w:t>
            </w:r>
          </w:p>
        </w:tc>
        <w:tc>
          <w:tcPr>
            <w:tcW w:w="709" w:type="dxa"/>
            <w:vMerge w:val="continue"/>
            <w:vAlign w:val="center"/>
          </w:tcPr>
          <w:p w14:paraId="3C4C954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10738B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197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3B928C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15DD11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72AB8F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11）支持RDP、VNC图形操作行为的审计，图形回放形式还原真实操作过程；支持RDP、VNC图形操作过程中键盘输入操作记录和鼠标点击行为记录，并支持开启或关闭键盘输入审计功能；</w:t>
            </w:r>
          </w:p>
        </w:tc>
        <w:tc>
          <w:tcPr>
            <w:tcW w:w="709" w:type="dxa"/>
            <w:vMerge w:val="continue"/>
            <w:vAlign w:val="center"/>
          </w:tcPr>
          <w:p w14:paraId="0D07C21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DAEAFB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948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01A2C7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729DA4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BA8B7D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12）支持WEB运维模式、C/S客户端模式、SH/RDP直连菜单模式；支持国产终端调用国产化应用发布工具运维；</w:t>
            </w:r>
          </w:p>
        </w:tc>
        <w:tc>
          <w:tcPr>
            <w:tcW w:w="709" w:type="dxa"/>
            <w:vMerge w:val="continue"/>
            <w:vAlign w:val="center"/>
          </w:tcPr>
          <w:p w14:paraId="62A1238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ADC878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A66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C7B3F0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F2E0E1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4DF6FA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13）支持国产化终端（银河麒麟/统信）调用本地工具运维，无需安装单独的客户端工具；</w:t>
            </w:r>
          </w:p>
        </w:tc>
        <w:tc>
          <w:tcPr>
            <w:tcW w:w="709" w:type="dxa"/>
            <w:vMerge w:val="continue"/>
            <w:vAlign w:val="center"/>
          </w:tcPr>
          <w:p w14:paraId="2ACC52A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B8AE45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6BA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vAlign w:val="center"/>
          </w:tcPr>
          <w:p w14:paraId="56D9563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ACD57B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2AA07B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14）运维用户可以设置自动运维操作定时/周期执行，实现网络设备（华为、h3c）配置的自动备份、供用户查看、下载；运维用户设置运维命令，在Linux类主机和网络设备自动执行并返回结果，供用户查看、下载；</w:t>
            </w:r>
          </w:p>
        </w:tc>
        <w:tc>
          <w:tcPr>
            <w:tcW w:w="709" w:type="dxa"/>
            <w:vMerge w:val="continue"/>
            <w:vAlign w:val="center"/>
          </w:tcPr>
          <w:p w14:paraId="2FF7501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DC8ADA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262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47F794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95CA4F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2322B9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15）支持国密HTTPS通信，可通过国密浏览器访问堡垒机支持国密身份认证，可配置国密动态口令卡实现双因认证支持国密存储，对堡垒机主从帐号密码进行国密算法加密。</w:t>
            </w:r>
          </w:p>
        </w:tc>
        <w:tc>
          <w:tcPr>
            <w:tcW w:w="709" w:type="dxa"/>
            <w:vMerge w:val="continue"/>
            <w:vAlign w:val="center"/>
          </w:tcPr>
          <w:p w14:paraId="79C01E9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A62910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957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0" w:type="auto"/>
            <w:vMerge w:val="restart"/>
            <w:shd w:val="clear" w:color="auto" w:fill="auto"/>
            <w:noWrap/>
            <w:vAlign w:val="center"/>
          </w:tcPr>
          <w:p w14:paraId="64ACAE1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w:t>
            </w:r>
          </w:p>
        </w:tc>
        <w:tc>
          <w:tcPr>
            <w:tcW w:w="1158" w:type="dxa"/>
            <w:vMerge w:val="restart"/>
            <w:shd w:val="clear" w:color="auto" w:fill="auto"/>
            <w:vAlign w:val="center"/>
          </w:tcPr>
          <w:p w14:paraId="4FA041D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日志系统</w:t>
            </w:r>
          </w:p>
        </w:tc>
        <w:tc>
          <w:tcPr>
            <w:tcW w:w="5083" w:type="dxa"/>
            <w:shd w:val="clear" w:color="auto" w:fill="auto"/>
            <w:vAlign w:val="center"/>
          </w:tcPr>
          <w:p w14:paraId="520B7F0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1）支持鲲鹏920芯片+麒麟 V10操作系统环境部署；</w:t>
            </w:r>
          </w:p>
        </w:tc>
        <w:tc>
          <w:tcPr>
            <w:tcW w:w="709" w:type="dxa"/>
            <w:vMerge w:val="restart"/>
            <w:shd w:val="clear" w:color="auto" w:fill="auto"/>
            <w:noWrap/>
            <w:vAlign w:val="center"/>
          </w:tcPr>
          <w:p w14:paraId="1E14C47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套</w:t>
            </w:r>
          </w:p>
        </w:tc>
        <w:tc>
          <w:tcPr>
            <w:tcW w:w="708" w:type="dxa"/>
            <w:vMerge w:val="restart"/>
            <w:shd w:val="clear" w:color="auto" w:fill="auto"/>
            <w:noWrap/>
            <w:vAlign w:val="center"/>
          </w:tcPr>
          <w:p w14:paraId="1DC13D4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w:t>
            </w:r>
          </w:p>
        </w:tc>
      </w:tr>
      <w:tr w14:paraId="2C68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570BFF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1816A3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CD52AC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★2）授权数:实配资源数量≥1000；</w:t>
            </w:r>
          </w:p>
        </w:tc>
        <w:tc>
          <w:tcPr>
            <w:tcW w:w="709" w:type="dxa"/>
            <w:vMerge w:val="continue"/>
            <w:vAlign w:val="center"/>
          </w:tcPr>
          <w:p w14:paraId="58D804B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239BF3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9D3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0C5443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AD72C4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BC9828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★3）支持与本项目采购的密码服务管理系统进行对接；</w:t>
            </w:r>
          </w:p>
        </w:tc>
        <w:tc>
          <w:tcPr>
            <w:tcW w:w="709" w:type="dxa"/>
            <w:vMerge w:val="continue"/>
            <w:vAlign w:val="center"/>
          </w:tcPr>
          <w:p w14:paraId="5CA0F81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65B5B8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066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C078B3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8746DE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5A94E9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4）支持与现有最高检身份认证系统实现互信对接；</w:t>
            </w:r>
          </w:p>
        </w:tc>
        <w:tc>
          <w:tcPr>
            <w:tcW w:w="709" w:type="dxa"/>
            <w:vMerge w:val="continue"/>
            <w:vAlign w:val="center"/>
          </w:tcPr>
          <w:p w14:paraId="1B38297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49B2EF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ECA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AAF1A8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A988E6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99C8A9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支持SNMPTrap、Syslog、ODBC\JDBC、文件\文件夹、WMI、FTP、SFTP、SMB、NetBIOS、OPSEC等多种方式完成日志收集功能；支持对国内主流国产化数据库进行日志数据采集；支持动态表名模式进行数据库采集，能按照时间或者数字的规则每天递增采集日志表；</w:t>
            </w:r>
          </w:p>
        </w:tc>
        <w:tc>
          <w:tcPr>
            <w:tcW w:w="709" w:type="dxa"/>
            <w:vMerge w:val="continue"/>
            <w:vAlign w:val="center"/>
          </w:tcPr>
          <w:p w14:paraId="257EB0E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8548DA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FBA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F8D267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509D42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51C16E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支持对主流安全设备、网络设备、服务器、终端、数据库、中间件、大数据组件、应用系统等设备系统进行日志采集，包括交换机和路由器、虚拟化及云计算平台、蜜罐系统、终端管理系统、防火墙、VPN、防病毒网关、入侵检测系统、入侵防御系统、WAF、内容过滤网关、负载均衡设备、数据库设备、Windows/Linux操作系统、隔离交换设备等设备组件系统；</w:t>
            </w:r>
          </w:p>
        </w:tc>
        <w:tc>
          <w:tcPr>
            <w:tcW w:w="709" w:type="dxa"/>
            <w:vMerge w:val="continue"/>
            <w:vAlign w:val="center"/>
          </w:tcPr>
          <w:p w14:paraId="51A8AEF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F4CC8A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A11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1AC11D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13562B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817BDE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支持交互式事件分析模式，支持历史查询记录浏览和快捷查询；支持过滤条件和高级搜索模式方式查询，其中过滤条件查询可以对任意日志字段设置禁用、取反等操作；高级查询模式查询需支持单一条件和组合条件复杂查询；</w:t>
            </w:r>
          </w:p>
        </w:tc>
        <w:tc>
          <w:tcPr>
            <w:tcW w:w="709" w:type="dxa"/>
            <w:vMerge w:val="continue"/>
            <w:vAlign w:val="center"/>
          </w:tcPr>
          <w:p w14:paraId="71DCF0B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40BF70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9AE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6EA7D4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CD5417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C3C89C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支持日志数据的存储压缩加密，同时保存原始日志和范式化后的日志；支持日志加密压缩传输，支持加密压缩方式转发，加密方式支持SM4国密算法，支持定时转发；支持日志解密接收，解密方式支持压缩解密和SM4解密；</w:t>
            </w:r>
          </w:p>
        </w:tc>
        <w:tc>
          <w:tcPr>
            <w:tcW w:w="709" w:type="dxa"/>
            <w:vMerge w:val="continue"/>
            <w:vAlign w:val="center"/>
          </w:tcPr>
          <w:p w14:paraId="697E8F8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756029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DDB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E5B9D7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BB5398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26D7CB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9）支持日志源管理功能，对日志源进行增删查等维护、支持对日志源设置不活跃时长触发告警，单个日志源设备可查看该设备日志量、最近7天的事件趋势；</w:t>
            </w:r>
          </w:p>
        </w:tc>
        <w:tc>
          <w:tcPr>
            <w:tcW w:w="709" w:type="dxa"/>
            <w:vMerge w:val="continue"/>
            <w:vAlign w:val="center"/>
          </w:tcPr>
          <w:p w14:paraId="7D57201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276425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7C4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B5733F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B72ACE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960100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10）支持对资产的多种属性进行管理，包括基本属性（名称、类型、厂商、序列号、IP/MAC、地理位置、联系人等）、自定义扩展属性；</w:t>
            </w:r>
          </w:p>
        </w:tc>
        <w:tc>
          <w:tcPr>
            <w:tcW w:w="709" w:type="dxa"/>
            <w:vMerge w:val="continue"/>
            <w:vAlign w:val="center"/>
          </w:tcPr>
          <w:p w14:paraId="6552DA6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6911AF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639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EDA883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0A79F5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998706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11）支持自身资源监控展示，包括CPU、内存和硬盘使用情况、日志存储占用空间、已存储天数、剩余存储天数展示；</w:t>
            </w:r>
          </w:p>
        </w:tc>
        <w:tc>
          <w:tcPr>
            <w:tcW w:w="709" w:type="dxa"/>
            <w:vMerge w:val="continue"/>
            <w:vAlign w:val="center"/>
          </w:tcPr>
          <w:p w14:paraId="581DB25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64F2B3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0D9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D2D7EB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563550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EC0BA0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12）系统内置主机综合视图、路由器视图、交换机视图、IPS视图、IDS视图、防火墙视图、防病毒视图、WEB应用视图；</w:t>
            </w:r>
          </w:p>
        </w:tc>
        <w:tc>
          <w:tcPr>
            <w:tcW w:w="709" w:type="dxa"/>
            <w:vMerge w:val="continue"/>
            <w:vAlign w:val="center"/>
          </w:tcPr>
          <w:p w14:paraId="72ACFD3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17A6DF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E24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A99620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9518C0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876528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13）支持智能合并模式；支持按照告警名称、告警分类、告警等级、设备地址、设备类型合并条件来智能合并；</w:t>
            </w:r>
          </w:p>
        </w:tc>
        <w:tc>
          <w:tcPr>
            <w:tcW w:w="709" w:type="dxa"/>
            <w:vMerge w:val="continue"/>
            <w:vAlign w:val="center"/>
          </w:tcPr>
          <w:p w14:paraId="5E48128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DFC967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AEB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615CD1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D6903F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0C98E5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14）支持内置网络安全法报表、合规报表、默认报表、告警报表等报表模版，支持报表模版自定义；</w:t>
            </w:r>
          </w:p>
        </w:tc>
        <w:tc>
          <w:tcPr>
            <w:tcW w:w="709" w:type="dxa"/>
            <w:vMerge w:val="continue"/>
            <w:vAlign w:val="center"/>
          </w:tcPr>
          <w:p w14:paraId="5F67871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1B72AA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C99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0E0349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44E1BC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38CB7D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15）支持日志数据完整性校验，满足密评改造。对接主流密码机厂家。</w:t>
            </w:r>
          </w:p>
        </w:tc>
        <w:tc>
          <w:tcPr>
            <w:tcW w:w="709" w:type="dxa"/>
            <w:vMerge w:val="continue"/>
            <w:vAlign w:val="center"/>
          </w:tcPr>
          <w:p w14:paraId="0874F04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932600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4DE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0" w:type="auto"/>
            <w:vMerge w:val="restart"/>
            <w:shd w:val="clear" w:color="auto" w:fill="auto"/>
            <w:noWrap/>
            <w:vAlign w:val="center"/>
          </w:tcPr>
          <w:p w14:paraId="69B8F45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w:t>
            </w:r>
          </w:p>
        </w:tc>
        <w:tc>
          <w:tcPr>
            <w:tcW w:w="1158" w:type="dxa"/>
            <w:vMerge w:val="restart"/>
            <w:shd w:val="clear" w:color="auto" w:fill="auto"/>
            <w:vAlign w:val="center"/>
          </w:tcPr>
          <w:p w14:paraId="77829DC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密码服务管理系统</w:t>
            </w:r>
          </w:p>
        </w:tc>
        <w:tc>
          <w:tcPr>
            <w:tcW w:w="5083" w:type="dxa"/>
            <w:shd w:val="clear" w:color="auto" w:fill="auto"/>
            <w:vAlign w:val="center"/>
          </w:tcPr>
          <w:p w14:paraId="68EB8B8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1）支持云平台环境部署，支持ARM架构+鲲鹏920芯片+麒麟 V10操作系统环境部署；</w:t>
            </w:r>
          </w:p>
        </w:tc>
        <w:tc>
          <w:tcPr>
            <w:tcW w:w="709" w:type="dxa"/>
            <w:vMerge w:val="restart"/>
            <w:shd w:val="clear" w:color="auto" w:fill="auto"/>
            <w:noWrap/>
            <w:vAlign w:val="center"/>
          </w:tcPr>
          <w:p w14:paraId="2F5552C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套</w:t>
            </w:r>
          </w:p>
        </w:tc>
        <w:tc>
          <w:tcPr>
            <w:tcW w:w="708" w:type="dxa"/>
            <w:vMerge w:val="restart"/>
            <w:shd w:val="clear" w:color="auto" w:fill="auto"/>
            <w:noWrap/>
            <w:vAlign w:val="center"/>
          </w:tcPr>
          <w:p w14:paraId="77564D3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w:t>
            </w:r>
          </w:p>
        </w:tc>
      </w:tr>
      <w:tr w14:paraId="1B99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530F3B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203704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8F72CB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2）产品支持在检察工作网和互联网区同时部署，用户统一管理；</w:t>
            </w:r>
          </w:p>
        </w:tc>
        <w:tc>
          <w:tcPr>
            <w:tcW w:w="709" w:type="dxa"/>
            <w:vMerge w:val="continue"/>
            <w:vAlign w:val="center"/>
          </w:tcPr>
          <w:p w14:paraId="7D7BF31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729046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371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B35856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F4B72F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C876B7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3）支持与本项目采购的签名验签服务器、服务器密码机等系统对接；</w:t>
            </w:r>
          </w:p>
        </w:tc>
        <w:tc>
          <w:tcPr>
            <w:tcW w:w="709" w:type="dxa"/>
            <w:vMerge w:val="continue"/>
            <w:vAlign w:val="center"/>
          </w:tcPr>
          <w:p w14:paraId="123385D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DA30E8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04A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BCE208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DC1AAA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9BCFF4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4）部署于16核CPU、64GB内存服务器/虚拟机上时，平台侧可支持最大并发用户数不低于3500；</w:t>
            </w:r>
          </w:p>
        </w:tc>
        <w:tc>
          <w:tcPr>
            <w:tcW w:w="709" w:type="dxa"/>
            <w:vMerge w:val="continue"/>
            <w:vAlign w:val="center"/>
          </w:tcPr>
          <w:p w14:paraId="2299C6D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06F137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B18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B151BD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3DA505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949D56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5）密码调度平台提供统一版本的C和JAVA接口供上层应用系统调用；</w:t>
            </w:r>
          </w:p>
        </w:tc>
        <w:tc>
          <w:tcPr>
            <w:tcW w:w="709" w:type="dxa"/>
            <w:vMerge w:val="continue"/>
            <w:vAlign w:val="center"/>
          </w:tcPr>
          <w:p w14:paraId="408DA81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577417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28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04B8DD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D8E22B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0D7832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6）包含密钥管理子系统；</w:t>
            </w:r>
          </w:p>
        </w:tc>
        <w:tc>
          <w:tcPr>
            <w:tcW w:w="709" w:type="dxa"/>
            <w:vMerge w:val="continue"/>
            <w:vAlign w:val="center"/>
          </w:tcPr>
          <w:p w14:paraId="36CE53F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4790A4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AA6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D20C19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CAFB6B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C0163D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7）具备密码设备、密码服务监控功能，支持实时监控物理设备、虚拟设备及密码服务业务状态；</w:t>
            </w:r>
          </w:p>
        </w:tc>
        <w:tc>
          <w:tcPr>
            <w:tcW w:w="709" w:type="dxa"/>
            <w:vMerge w:val="continue"/>
            <w:vAlign w:val="center"/>
          </w:tcPr>
          <w:p w14:paraId="4C61305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7873FC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E9B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B9B77A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64952D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5FC363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8）提供密码应用服务接入规范，支持第三方密码应用服务接入平台作为平台的密码服务支撑；</w:t>
            </w:r>
          </w:p>
        </w:tc>
        <w:tc>
          <w:tcPr>
            <w:tcW w:w="709" w:type="dxa"/>
            <w:vMerge w:val="continue"/>
            <w:vAlign w:val="center"/>
          </w:tcPr>
          <w:p w14:paraId="67B968B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EF4563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43F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10D66C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A2D8A8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027745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9）支持对密码机配置管理，对密码机进行集群分组，组内密码机热备和负载均衡；</w:t>
            </w:r>
          </w:p>
        </w:tc>
        <w:tc>
          <w:tcPr>
            <w:tcW w:w="709" w:type="dxa"/>
            <w:vMerge w:val="continue"/>
            <w:vAlign w:val="center"/>
          </w:tcPr>
          <w:p w14:paraId="14A81D8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080B22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8A7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576114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D82431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9557359">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10）支持密码机动态增加、删除，上层应用无感知；</w:t>
            </w:r>
          </w:p>
        </w:tc>
        <w:tc>
          <w:tcPr>
            <w:tcW w:w="709" w:type="dxa"/>
            <w:vMerge w:val="continue"/>
            <w:vAlign w:val="center"/>
          </w:tcPr>
          <w:p w14:paraId="4E36DF9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A2BAD6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726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8B7BF9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C3DCC6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9D6C53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11）支持对云服务器密码机进行管理，支持异构云密码机设备的调度；</w:t>
            </w:r>
          </w:p>
        </w:tc>
        <w:tc>
          <w:tcPr>
            <w:tcW w:w="709" w:type="dxa"/>
            <w:vMerge w:val="continue"/>
            <w:vAlign w:val="center"/>
          </w:tcPr>
          <w:p w14:paraId="7F587AE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06F413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D03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vAlign w:val="center"/>
          </w:tcPr>
          <w:p w14:paraId="2E296B4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605604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74C5E3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12）管理系统支持基于证书的认证机制，以及结合密码机实现自身敏感数据的保护、审计数据的可追溯能力；</w:t>
            </w:r>
          </w:p>
        </w:tc>
        <w:tc>
          <w:tcPr>
            <w:tcW w:w="709" w:type="dxa"/>
            <w:vMerge w:val="continue"/>
            <w:vAlign w:val="center"/>
          </w:tcPr>
          <w:p w14:paraId="67C626B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7C7F4B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AC8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4087D6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4BF7BA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0F6DDE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13）支持密码资源隔离访问，密码资源访问支持安全认证和链路加密机制；</w:t>
            </w:r>
          </w:p>
        </w:tc>
        <w:tc>
          <w:tcPr>
            <w:tcW w:w="709" w:type="dxa"/>
            <w:vMerge w:val="continue"/>
            <w:vAlign w:val="center"/>
          </w:tcPr>
          <w:p w14:paraId="39ACB26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144E31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7B6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963ED5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993E01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908BDE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14）支持资源管理，包括服务设备管理、虚拟设备管理、云密码服务中间件和集群管理等，能够将同类型密码设备绑定在一起，作为一组单元进行统一化管理；</w:t>
            </w:r>
          </w:p>
        </w:tc>
        <w:tc>
          <w:tcPr>
            <w:tcW w:w="709" w:type="dxa"/>
            <w:vMerge w:val="continue"/>
            <w:vAlign w:val="center"/>
          </w:tcPr>
          <w:p w14:paraId="1F692D6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0FF283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23B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C83DCC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9BA9C9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715E07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15）能够监控密码设备的运行状态并在平台展示模块内展现出来，涉及元素至少包括CPU使用率、硬盘使用量、使用率、内存使用量、使用率；</w:t>
            </w:r>
          </w:p>
        </w:tc>
        <w:tc>
          <w:tcPr>
            <w:tcW w:w="709" w:type="dxa"/>
            <w:vMerge w:val="continue"/>
            <w:vAlign w:val="center"/>
          </w:tcPr>
          <w:p w14:paraId="7D51E58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9DEC51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113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F873B4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1F99C7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FF435E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16）支持服务管理，能实现密码服务登记、审核、发布、更新、查询、服务包下载等基本功能；</w:t>
            </w:r>
          </w:p>
        </w:tc>
        <w:tc>
          <w:tcPr>
            <w:tcW w:w="709" w:type="dxa"/>
            <w:vMerge w:val="continue"/>
            <w:vAlign w:val="center"/>
          </w:tcPr>
          <w:p w14:paraId="76C4D35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7ED2E3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16C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B187F5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5D924D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666FA7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17）支持接入应用系统的注册和管理，提供应用登记、审核、更新、密评情况管理等功能；</w:t>
            </w:r>
          </w:p>
        </w:tc>
        <w:tc>
          <w:tcPr>
            <w:tcW w:w="709" w:type="dxa"/>
            <w:vMerge w:val="continue"/>
            <w:vAlign w:val="center"/>
          </w:tcPr>
          <w:p w14:paraId="67A4519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5DB197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C54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A33890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61CD8B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BB2B20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18）能够监控每一条密码服务调用，记录调用方IP、应用名称、调用服务、是否成功等信息，以便回溯问题；</w:t>
            </w:r>
          </w:p>
        </w:tc>
        <w:tc>
          <w:tcPr>
            <w:tcW w:w="709" w:type="dxa"/>
            <w:vMerge w:val="continue"/>
            <w:vAlign w:val="center"/>
          </w:tcPr>
          <w:p w14:paraId="2164B6B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FC38F0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1FC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F57055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87459A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29F67D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19）支持数据采集，支持通过syslog等方式接收密码设备日志进行设备及服务的状态采集，通过在平台内配置解析表达式，可自动处理成格式化数据并发送给态势、巡检等子模块，为管理人员提供统一的安全运维信息；</w:t>
            </w:r>
          </w:p>
        </w:tc>
        <w:tc>
          <w:tcPr>
            <w:tcW w:w="709" w:type="dxa"/>
            <w:vMerge w:val="continue"/>
            <w:vAlign w:val="center"/>
          </w:tcPr>
          <w:p w14:paraId="685F10E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2181C2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16F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78861D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61DDC6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29C515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20）支持运维保障功能模块为管理人员提供统一的安全运维接口，对密码监管平台的日常运维和告警事项进行处理，支持密码设备策略统一配置管理，能够组建相应知识库及应急预案；</w:t>
            </w:r>
          </w:p>
        </w:tc>
        <w:tc>
          <w:tcPr>
            <w:tcW w:w="709" w:type="dxa"/>
            <w:vMerge w:val="continue"/>
            <w:vAlign w:val="center"/>
          </w:tcPr>
          <w:p w14:paraId="31E8C00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91CD04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6A3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91B271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1B7B1C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F2C65B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21）支持态势感知，平台支持通过采集、分析的数据搭建态势感知展示页，对监管的密码设备及密码服务运行状态进行实时展示，通过对过往事件的分析展示系统运行健康度；</w:t>
            </w:r>
          </w:p>
        </w:tc>
        <w:tc>
          <w:tcPr>
            <w:tcW w:w="709" w:type="dxa"/>
            <w:vMerge w:val="continue"/>
            <w:vAlign w:val="center"/>
          </w:tcPr>
          <w:p w14:paraId="354683A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D349E2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041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0" w:type="auto"/>
            <w:vMerge w:val="continue"/>
            <w:vAlign w:val="center"/>
          </w:tcPr>
          <w:p w14:paraId="1E1A673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5F624C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EEE0643">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22）支持数据展示，通过对机构、应用、设备状态、服务记录等数据的统计分析，进行系统使用情况展示，支持密码资源使用情况等大屏展示功能；</w:t>
            </w:r>
          </w:p>
        </w:tc>
        <w:tc>
          <w:tcPr>
            <w:tcW w:w="709" w:type="dxa"/>
            <w:vMerge w:val="continue"/>
            <w:vAlign w:val="center"/>
          </w:tcPr>
          <w:p w14:paraId="0C73310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A2D8B2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5D4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BA203E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17D947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9B624C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23）支持通过归类、报表等方法在线分析审计数据；</w:t>
            </w:r>
          </w:p>
        </w:tc>
        <w:tc>
          <w:tcPr>
            <w:tcW w:w="709" w:type="dxa"/>
            <w:vMerge w:val="continue"/>
            <w:vAlign w:val="center"/>
          </w:tcPr>
          <w:p w14:paraId="5BAE988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41E349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B95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5E1BFB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085CA5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7AF6DA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24）支持提供报表生成模板引擎，服务于灵活定制审计报告；</w:t>
            </w:r>
          </w:p>
        </w:tc>
        <w:tc>
          <w:tcPr>
            <w:tcW w:w="709" w:type="dxa"/>
            <w:vMerge w:val="continue"/>
            <w:vAlign w:val="center"/>
          </w:tcPr>
          <w:p w14:paraId="000E6CA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469D82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426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C4355E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E4344D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5B43E8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25）支持全方位的用户行为审计，便于对用户信息的所有操作行为的审计；</w:t>
            </w:r>
          </w:p>
        </w:tc>
        <w:tc>
          <w:tcPr>
            <w:tcW w:w="709" w:type="dxa"/>
            <w:vMerge w:val="continue"/>
            <w:vAlign w:val="center"/>
          </w:tcPr>
          <w:p w14:paraId="4ED0704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2D70317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7C9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27E137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9BEAA1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290A5C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26）支持对账号分配应用情况的审计，对所有的授权信息审计；</w:t>
            </w:r>
          </w:p>
        </w:tc>
        <w:tc>
          <w:tcPr>
            <w:tcW w:w="709" w:type="dxa"/>
            <w:vMerge w:val="continue"/>
            <w:vAlign w:val="center"/>
          </w:tcPr>
          <w:p w14:paraId="6234973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699DD3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FDD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2701D3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21ECF4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303BFE0">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27）支持对用户登录过程的审计，便于管理员快速定位出错的原因，对应用集成进行可视化调试；</w:t>
            </w:r>
          </w:p>
        </w:tc>
        <w:tc>
          <w:tcPr>
            <w:tcW w:w="709" w:type="dxa"/>
            <w:vMerge w:val="continue"/>
            <w:vAlign w:val="center"/>
          </w:tcPr>
          <w:p w14:paraId="41E4B45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DE8324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ABD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DAF9D1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52A689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6FBAF7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28）支持对应用访问的审计，便于分析各个应用使用情况；</w:t>
            </w:r>
          </w:p>
        </w:tc>
        <w:tc>
          <w:tcPr>
            <w:tcW w:w="709" w:type="dxa"/>
            <w:vMerge w:val="continue"/>
            <w:vAlign w:val="center"/>
          </w:tcPr>
          <w:p w14:paraId="10883C8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587EDE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E39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2D0EBC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3F2E7F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8B90BE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29）支持针对不活动用户统计、登录失败行为统计、敏感资源访问统计等；</w:t>
            </w:r>
          </w:p>
        </w:tc>
        <w:tc>
          <w:tcPr>
            <w:tcW w:w="709" w:type="dxa"/>
            <w:vMerge w:val="continue"/>
            <w:vAlign w:val="center"/>
          </w:tcPr>
          <w:p w14:paraId="1E0A605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F1F48D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9C4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8ED70C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80BC5C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6AE399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30）支持从多数据源同步机构、人员等信息，建立统一用户数据库，身份源发生变化后可联动汇聚信息至统一用户数据库；</w:t>
            </w:r>
          </w:p>
        </w:tc>
        <w:tc>
          <w:tcPr>
            <w:tcW w:w="709" w:type="dxa"/>
            <w:vMerge w:val="continue"/>
            <w:vAlign w:val="center"/>
          </w:tcPr>
          <w:p w14:paraId="24E3D30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322D15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A6B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BDBAF4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5DF31A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E80696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31）支持将统一用户数据同步给其他系统，支持统一用户数据的增量同步、全量同步，支持数据分发时字段可选可配；</w:t>
            </w:r>
          </w:p>
        </w:tc>
        <w:tc>
          <w:tcPr>
            <w:tcW w:w="709" w:type="dxa"/>
            <w:vMerge w:val="continue"/>
            <w:vAlign w:val="center"/>
          </w:tcPr>
          <w:p w14:paraId="7F583B7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6EDC35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6FF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554897E">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72B5C4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57FB76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32）支持自定义统一用户数据属性，可设置属性的名称、代码、控件类型、长度、单值/多值、是否唯一、是否可编辑、是否可导出、是否隐藏等；支持按照不同的人员类型配置不同的属性定义、到期时间、密码策略、同步策略等；</w:t>
            </w:r>
          </w:p>
        </w:tc>
        <w:tc>
          <w:tcPr>
            <w:tcW w:w="709" w:type="dxa"/>
            <w:vMerge w:val="continue"/>
            <w:vAlign w:val="center"/>
          </w:tcPr>
          <w:p w14:paraId="5FACD42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454745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BB8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10E90B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6D31CA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BFF919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33）支持统一用户数据以CSV、EXCEL等文件格式进行批量导出和导入；</w:t>
            </w:r>
          </w:p>
        </w:tc>
        <w:tc>
          <w:tcPr>
            <w:tcW w:w="709" w:type="dxa"/>
            <w:vMerge w:val="continue"/>
            <w:vAlign w:val="center"/>
          </w:tcPr>
          <w:p w14:paraId="6680CEB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68732E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50F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0" w:type="auto"/>
            <w:vMerge w:val="continue"/>
            <w:vAlign w:val="center"/>
          </w:tcPr>
          <w:p w14:paraId="40EF796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E10430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0E80D48">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34）支持基于条件策略的身份服务机制，可按照用户类型、岗位、属性条件触发身份信息同步机制，满足不同应用对身份服务的需求；</w:t>
            </w:r>
          </w:p>
        </w:tc>
        <w:tc>
          <w:tcPr>
            <w:tcW w:w="709" w:type="dxa"/>
            <w:vMerge w:val="continue"/>
            <w:vAlign w:val="center"/>
          </w:tcPr>
          <w:p w14:paraId="31523D4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B068B0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575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C84BEC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B98F6C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640C3A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35）支持对用户账号的开通、调整、注销、收回等操作的统一维护管理；</w:t>
            </w:r>
          </w:p>
        </w:tc>
        <w:tc>
          <w:tcPr>
            <w:tcW w:w="709" w:type="dxa"/>
            <w:vMerge w:val="continue"/>
            <w:vAlign w:val="center"/>
          </w:tcPr>
          <w:p w14:paraId="0D9ECBD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FFDC4D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6FB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F93481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0416AD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8AC242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 xml:space="preserve">36）支持将用户某些字段设置为敏感字段，支持调用统一提供的基于国密算法的加解密服务对敏感数据进行加解密； </w:t>
            </w:r>
          </w:p>
        </w:tc>
        <w:tc>
          <w:tcPr>
            <w:tcW w:w="709" w:type="dxa"/>
            <w:vMerge w:val="continue"/>
            <w:vAlign w:val="center"/>
          </w:tcPr>
          <w:p w14:paraId="2EF3BD8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7BB496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3DE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F67ADB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780DA9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754DBB46">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37）支持多维组织结构管理以及基于多机构的调动、借调、合并，支持多部门兼职，在多个部门下拥有不同的身份；</w:t>
            </w:r>
          </w:p>
        </w:tc>
        <w:tc>
          <w:tcPr>
            <w:tcW w:w="709" w:type="dxa"/>
            <w:vMerge w:val="continue"/>
            <w:vAlign w:val="center"/>
          </w:tcPr>
          <w:p w14:paraId="42165B0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EAED2E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FA5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FF44B4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9F838F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2AEE7B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38）支持临时账号的开通与定时回收功能，支持临时账号默认权限开通与回收；</w:t>
            </w:r>
          </w:p>
        </w:tc>
        <w:tc>
          <w:tcPr>
            <w:tcW w:w="709" w:type="dxa"/>
            <w:vMerge w:val="continue"/>
            <w:vAlign w:val="center"/>
          </w:tcPr>
          <w:p w14:paraId="6AFD802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1A2B068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69D2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56F3C3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766AEB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949E2BF">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 xml:space="preserve">39）支持拼音、手机号、邮箱等用户ID规则，支持根据具体需求定制开发； </w:t>
            </w:r>
          </w:p>
        </w:tc>
        <w:tc>
          <w:tcPr>
            <w:tcW w:w="709" w:type="dxa"/>
            <w:vMerge w:val="continue"/>
            <w:vAlign w:val="center"/>
          </w:tcPr>
          <w:p w14:paraId="028C96A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67D23C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B70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E75EC1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CEE025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1DBDBD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40）提供基于restful、webservice等标准协议的数据同步接口；</w:t>
            </w:r>
          </w:p>
        </w:tc>
        <w:tc>
          <w:tcPr>
            <w:tcW w:w="709" w:type="dxa"/>
            <w:vMerge w:val="continue"/>
            <w:vAlign w:val="center"/>
          </w:tcPr>
          <w:p w14:paraId="6A8D3E5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79D5FC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601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F4A9DC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C93ED2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1FECA4A">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41）支持用户全生命周期管理，支持用户属性管理，属性包括：用户名、真实姓名、组织机构、用户类型、手机号、邮箱、身份证号、认证方式、岗位、令牌编号、有效期内容；</w:t>
            </w:r>
          </w:p>
        </w:tc>
        <w:tc>
          <w:tcPr>
            <w:tcW w:w="709" w:type="dxa"/>
            <w:vMerge w:val="continue"/>
            <w:vAlign w:val="center"/>
          </w:tcPr>
          <w:p w14:paraId="46A344C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092ACF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977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5071B8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CB6D79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D7A05D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42）支持用户口令策略，可提供密码长度、密码复杂度、历史密码比对、密码周期、密码有效期、逾期处理方式、登录锁定设置、密码修改提醒、密码错误次数、自动解锁设置、密码与用户名比较、密码与手机号比较、密码与邮箱比较、校验键盘排序属性控制；</w:t>
            </w:r>
          </w:p>
        </w:tc>
        <w:tc>
          <w:tcPr>
            <w:tcW w:w="709" w:type="dxa"/>
            <w:vMerge w:val="continue"/>
            <w:vAlign w:val="center"/>
          </w:tcPr>
          <w:p w14:paraId="5D3FBDB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15EB5F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0239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D9D8A7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FD6619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E6B57BE">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43）支持用户登录策略管理，可根据需要新增登录策略，登录策略可基于IP地址；</w:t>
            </w:r>
          </w:p>
        </w:tc>
        <w:tc>
          <w:tcPr>
            <w:tcW w:w="709" w:type="dxa"/>
            <w:vMerge w:val="continue"/>
            <w:vAlign w:val="center"/>
          </w:tcPr>
          <w:p w14:paraId="0711E51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48EB81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47E7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62A1E13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748FCF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61CF98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44）支持地址进行黑白名单控制；</w:t>
            </w:r>
          </w:p>
        </w:tc>
        <w:tc>
          <w:tcPr>
            <w:tcW w:w="709" w:type="dxa"/>
            <w:vMerge w:val="continue"/>
            <w:vAlign w:val="center"/>
          </w:tcPr>
          <w:p w14:paraId="609E790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A96D7F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158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9C7843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629300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5524D09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 xml:space="preserve">45）支持使用多种账号类型登录，包括统一用户名、拼音、手机号、邮箱及自定义等； </w:t>
            </w:r>
          </w:p>
        </w:tc>
        <w:tc>
          <w:tcPr>
            <w:tcW w:w="709" w:type="dxa"/>
            <w:vMerge w:val="continue"/>
            <w:vAlign w:val="center"/>
          </w:tcPr>
          <w:p w14:paraId="00630C5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72DD5D7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050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9BC7400">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DBAF12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7C328A2">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46）支持密码复杂度可配置，由数字、大小写字母、符号等多种元素组成，长度可设定，并提供默认初始密码强制更换、定期更换、历史密码不允许重复等密码策略。支持口令信息进行加密存储和加密传输等安全保护，具备限定错误重试频率和账号锁定等防暴力破解能力；</w:t>
            </w:r>
          </w:p>
        </w:tc>
        <w:tc>
          <w:tcPr>
            <w:tcW w:w="709" w:type="dxa"/>
            <w:vMerge w:val="continue"/>
            <w:vAlign w:val="center"/>
          </w:tcPr>
          <w:p w14:paraId="24FAAE2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FF8368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3510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982ADDC">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554A82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BC33109">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47）支持SAML、OpenID、OIDC、OAuth、JWT、LDAP等认证协议；</w:t>
            </w:r>
          </w:p>
        </w:tc>
        <w:tc>
          <w:tcPr>
            <w:tcW w:w="709" w:type="dxa"/>
            <w:vMerge w:val="continue"/>
            <w:vAlign w:val="center"/>
          </w:tcPr>
          <w:p w14:paraId="3A3D1CC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5586F27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7D56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440ED9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59E7804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213166D5">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48）支持国密算法，包括SM2、SM3、SM4算法等；</w:t>
            </w:r>
          </w:p>
        </w:tc>
        <w:tc>
          <w:tcPr>
            <w:tcW w:w="709" w:type="dxa"/>
            <w:vMerge w:val="continue"/>
            <w:vAlign w:val="center"/>
          </w:tcPr>
          <w:p w14:paraId="7F42CBF2">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097098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2EE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EBF97E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733168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DF3963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49）支持协议模式、SDK模式、代理模式、代填模式等方式与应用系统集成适配，实现统一认证；</w:t>
            </w:r>
          </w:p>
        </w:tc>
        <w:tc>
          <w:tcPr>
            <w:tcW w:w="709" w:type="dxa"/>
            <w:vMerge w:val="continue"/>
            <w:vAlign w:val="center"/>
          </w:tcPr>
          <w:p w14:paraId="24D610F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355F04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E4D0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vAlign w:val="center"/>
          </w:tcPr>
          <w:p w14:paraId="2FF8C13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751883E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8897F4D">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50）支持用户访问应用单点登录，单点登录支持票据单点登录方式。应用认证和数据传输采用国密SM2加密；支持应用IP白名单验证；</w:t>
            </w:r>
          </w:p>
        </w:tc>
        <w:tc>
          <w:tcPr>
            <w:tcW w:w="709" w:type="dxa"/>
            <w:vMerge w:val="continue"/>
            <w:vAlign w:val="center"/>
          </w:tcPr>
          <w:p w14:paraId="5DE577F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473884D7">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B9A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D65558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438E7B7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4C22C417">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51）提供Android、鸿蒙等智能手机平台不同开发语言的SDK，支持移动应用统一身份认证功能的快速开发；</w:t>
            </w:r>
          </w:p>
        </w:tc>
        <w:tc>
          <w:tcPr>
            <w:tcW w:w="709" w:type="dxa"/>
            <w:vMerge w:val="continue"/>
            <w:vAlign w:val="center"/>
          </w:tcPr>
          <w:p w14:paraId="6CC993F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C3EADB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247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A3241D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051502B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1215FB0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 xml:space="preserve">52）支持对传输报文进行双向加密，支持链路加密； </w:t>
            </w:r>
          </w:p>
        </w:tc>
        <w:tc>
          <w:tcPr>
            <w:tcW w:w="709" w:type="dxa"/>
            <w:vMerge w:val="continue"/>
            <w:vAlign w:val="center"/>
          </w:tcPr>
          <w:p w14:paraId="704B04A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8FDF90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1A46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B15942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15E2BE5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6AD05B1">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 xml:space="preserve">53）支持对传输的数据进行签名； </w:t>
            </w:r>
          </w:p>
        </w:tc>
        <w:tc>
          <w:tcPr>
            <w:tcW w:w="709" w:type="dxa"/>
            <w:vMerge w:val="continue"/>
            <w:vAlign w:val="center"/>
          </w:tcPr>
          <w:p w14:paraId="26C03B5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7B0F22A">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593E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F88ECE1">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32F45346">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622B6E9B">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54）支持系统数据和配置的备份恢复功能；</w:t>
            </w:r>
          </w:p>
        </w:tc>
        <w:tc>
          <w:tcPr>
            <w:tcW w:w="709" w:type="dxa"/>
            <w:vMerge w:val="continue"/>
            <w:vAlign w:val="center"/>
          </w:tcPr>
          <w:p w14:paraId="373F29C5">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0D322EE8">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799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F7453E9">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6CC3E76F">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32928CB4">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55）支持系统管理员、安全管理员、审计管理员三权分立的管理模式；</w:t>
            </w:r>
          </w:p>
        </w:tc>
        <w:tc>
          <w:tcPr>
            <w:tcW w:w="709" w:type="dxa"/>
            <w:vMerge w:val="continue"/>
            <w:vAlign w:val="center"/>
          </w:tcPr>
          <w:p w14:paraId="3B2CA72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3B14CA1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r w14:paraId="2250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461E9DB">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1158" w:type="dxa"/>
            <w:vMerge w:val="continue"/>
            <w:vAlign w:val="center"/>
          </w:tcPr>
          <w:p w14:paraId="2B553F04">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5083" w:type="dxa"/>
            <w:shd w:val="clear" w:color="auto" w:fill="auto"/>
            <w:vAlign w:val="center"/>
          </w:tcPr>
          <w:p w14:paraId="005F48BC">
            <w:pPr>
              <w:widowControl/>
              <w:adjustRightInd w:val="0"/>
              <w:snapToGrid w:val="0"/>
              <w:rPr>
                <w:rFonts w:cs="宋体"/>
                <w:color w:val="000000" w:themeColor="text1"/>
                <w:kern w:val="0"/>
                <w:sz w:val="24"/>
                <w:szCs w:val="22"/>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56）系统满足7*24小时平稳运行，集群部署模式下单台故障不影响业务进行，进行故障恢复不中断业务服务。</w:t>
            </w:r>
          </w:p>
        </w:tc>
        <w:tc>
          <w:tcPr>
            <w:tcW w:w="709" w:type="dxa"/>
            <w:vMerge w:val="continue"/>
            <w:vAlign w:val="center"/>
          </w:tcPr>
          <w:p w14:paraId="62760453">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c>
          <w:tcPr>
            <w:tcW w:w="708" w:type="dxa"/>
            <w:vMerge w:val="continue"/>
            <w:vAlign w:val="center"/>
          </w:tcPr>
          <w:p w14:paraId="6490CE8D">
            <w:pPr>
              <w:widowControl/>
              <w:adjustRightInd w:val="0"/>
              <w:snapToGrid w:val="0"/>
              <w:ind w:firstLine="480"/>
              <w:jc w:val="left"/>
              <w:rPr>
                <w:rFonts w:cs="宋体"/>
                <w:color w:val="000000" w:themeColor="text1"/>
                <w:kern w:val="0"/>
                <w:sz w:val="24"/>
                <w:szCs w:val="22"/>
                <w:highlight w:val="none"/>
                <w14:textFill>
                  <w14:solidFill>
                    <w14:schemeClr w14:val="tx1"/>
                  </w14:solidFill>
                </w14:textFill>
              </w:rPr>
            </w:pPr>
          </w:p>
        </w:tc>
      </w:tr>
    </w:tbl>
    <w:p w14:paraId="13319050">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6F7A096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14:paraId="37C6B08C">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商务要求</w:t>
      </w:r>
    </w:p>
    <w:p w14:paraId="5C6FAA5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eastAsia="......."/>
          <w:color w:val="000000" w:themeColor="text1"/>
          <w:kern w:val="0"/>
          <w:sz w:val="24"/>
          <w:szCs w:val="24"/>
          <w:highlight w:val="none"/>
          <w14:textFill>
            <w14:solidFill>
              <w14:schemeClr w14:val="tx1"/>
            </w14:solidFill>
          </w14:textFill>
        </w:rPr>
        <w:t>（一）</w:t>
      </w:r>
      <w:r>
        <w:rPr>
          <w:rFonts w:hint="eastAsia"/>
          <w:color w:val="000000" w:themeColor="text1"/>
          <w:sz w:val="24"/>
          <w:highlight w:val="none"/>
          <w14:textFill>
            <w14:solidFill>
              <w14:schemeClr w14:val="tx1"/>
            </w14:solidFill>
          </w14:textFill>
        </w:rPr>
        <w:t>报价要求</w:t>
      </w:r>
    </w:p>
    <w:p w14:paraId="42E6063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投标报价以人民币填列。</w:t>
      </w:r>
    </w:p>
    <w:p w14:paraId="0D898AE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供应商的报价应包括：设备主机及附件货款、运输费、运输保险费、装卸费、安装调试费及利润税金等为完成磋商文件规定的全部要求所需的一切费用。供应商所报价格为货到现场安装调试完成的最终优惠价格。</w:t>
      </w:r>
    </w:p>
    <w:p w14:paraId="70A2A3B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验收及相关费用由供应商负责。</w:t>
      </w:r>
    </w:p>
    <w:p w14:paraId="2A6FC7F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（二）服务要求</w:t>
      </w:r>
    </w:p>
    <w:p w14:paraId="1D5683B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提供所投产品制造商3年的免费上门保修。</w:t>
      </w:r>
    </w:p>
    <w:p w14:paraId="1B08573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保修期内免费更换零配件，7×24小时技术响应，24小时内维修工程师到达维修现场。保修期自验收合格之日起计算。</w:t>
      </w:r>
    </w:p>
    <w:p w14:paraId="2A07320D">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提供所投产品制造商服务机构情况，包括地址、联系方式及技术人员数量等。</w:t>
      </w:r>
    </w:p>
    <w:p w14:paraId="7117D85D">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提供原厂标准的易耗品、消耗材料价格清单及折扣率，保修期后设备维修的价格清单及折扣率。</w:t>
      </w:r>
    </w:p>
    <w:p w14:paraId="3AD4581A">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 提供现场技术培训。</w:t>
      </w:r>
    </w:p>
    <w:p w14:paraId="7F44C212">
      <w:pPr>
        <w:autoSpaceDE w:val="0"/>
        <w:autoSpaceDN w:val="0"/>
        <w:adjustRightIn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 集成服务要求：投标人应充分了解采购人需求内容，针对采购人已建系统进行深化设计、统一部署、深度融合和适配（包括密码服务管理系统的集中统一管理、与密码产品的协同验证、备份冗余等工作）。确保所投产品与采购人现有密码设备及系统合理对接、互信互通并将密码资源充分利旧。对接后，实现系统功能不减、性能不降，显著提高系统健壮性。项目集成过程中所使用的辅材费用由投标人承担。实施过程中产生的费用，均须由中标方自行提供。如因项目实施问题导致业务无法办理，损失由中标供应商承担。</w:t>
      </w:r>
    </w:p>
    <w:p w14:paraId="0BD62A92">
      <w:pPr>
        <w:autoSpaceDE w:val="0"/>
        <w:autoSpaceDN w:val="0"/>
        <w:adjustRightIn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利旧设备清单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78"/>
        <w:gridCol w:w="1747"/>
        <w:gridCol w:w="1640"/>
      </w:tblGrid>
      <w:tr w14:paraId="1C4F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22BEA99">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2678" w:type="dxa"/>
          </w:tcPr>
          <w:p w14:paraId="59D3B4F7">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利旧设备名称</w:t>
            </w:r>
          </w:p>
        </w:tc>
        <w:tc>
          <w:tcPr>
            <w:tcW w:w="1747" w:type="dxa"/>
          </w:tcPr>
          <w:p w14:paraId="29D24937">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单位</w:t>
            </w:r>
          </w:p>
        </w:tc>
        <w:tc>
          <w:tcPr>
            <w:tcW w:w="1640" w:type="dxa"/>
          </w:tcPr>
          <w:p w14:paraId="034F8286">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r>
      <w:tr w14:paraId="322E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E408823">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2678" w:type="dxa"/>
          </w:tcPr>
          <w:p w14:paraId="2CB37B89">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服务器密码机</w:t>
            </w:r>
          </w:p>
        </w:tc>
        <w:tc>
          <w:tcPr>
            <w:tcW w:w="1747" w:type="dxa"/>
          </w:tcPr>
          <w:p w14:paraId="7C9701EB">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台</w:t>
            </w:r>
          </w:p>
        </w:tc>
        <w:tc>
          <w:tcPr>
            <w:tcW w:w="1640" w:type="dxa"/>
          </w:tcPr>
          <w:p w14:paraId="48319BB1">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r>
      <w:tr w14:paraId="1340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446C6A5">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2678" w:type="dxa"/>
          </w:tcPr>
          <w:p w14:paraId="6A3F9183">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签名验签服务器</w:t>
            </w:r>
          </w:p>
        </w:tc>
        <w:tc>
          <w:tcPr>
            <w:tcW w:w="1747" w:type="dxa"/>
          </w:tcPr>
          <w:p w14:paraId="23BE4C2C">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台</w:t>
            </w:r>
          </w:p>
        </w:tc>
        <w:tc>
          <w:tcPr>
            <w:tcW w:w="1640" w:type="dxa"/>
          </w:tcPr>
          <w:p w14:paraId="567CF7F1">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r>
      <w:tr w14:paraId="2838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556678">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p>
        </w:tc>
        <w:tc>
          <w:tcPr>
            <w:tcW w:w="2678" w:type="dxa"/>
          </w:tcPr>
          <w:p w14:paraId="3F48DD84">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综合认证网关</w:t>
            </w:r>
          </w:p>
        </w:tc>
        <w:tc>
          <w:tcPr>
            <w:tcW w:w="1747" w:type="dxa"/>
          </w:tcPr>
          <w:p w14:paraId="6966D536">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台</w:t>
            </w:r>
          </w:p>
        </w:tc>
        <w:tc>
          <w:tcPr>
            <w:tcW w:w="1640" w:type="dxa"/>
          </w:tcPr>
          <w:p w14:paraId="290E64AA">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r>
      <w:tr w14:paraId="38B3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0152F2C">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2678" w:type="dxa"/>
          </w:tcPr>
          <w:p w14:paraId="67BF6128">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时间戳服务器</w:t>
            </w:r>
          </w:p>
        </w:tc>
        <w:tc>
          <w:tcPr>
            <w:tcW w:w="1747" w:type="dxa"/>
          </w:tcPr>
          <w:p w14:paraId="33FF21E2">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台</w:t>
            </w:r>
          </w:p>
        </w:tc>
        <w:tc>
          <w:tcPr>
            <w:tcW w:w="1640" w:type="dxa"/>
          </w:tcPr>
          <w:p w14:paraId="5DC3B996">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r>
      <w:tr w14:paraId="332F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AF03051">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2678" w:type="dxa"/>
          </w:tcPr>
          <w:p w14:paraId="4B7A78E1">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电子印章系统</w:t>
            </w:r>
          </w:p>
        </w:tc>
        <w:tc>
          <w:tcPr>
            <w:tcW w:w="1747" w:type="dxa"/>
          </w:tcPr>
          <w:p w14:paraId="347C2755">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套</w:t>
            </w:r>
          </w:p>
        </w:tc>
        <w:tc>
          <w:tcPr>
            <w:tcW w:w="1640" w:type="dxa"/>
          </w:tcPr>
          <w:p w14:paraId="19FDA852">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r>
      <w:tr w14:paraId="2B1D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F204569">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2678" w:type="dxa"/>
          </w:tcPr>
          <w:p w14:paraId="04138F76">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网络安全态势感知平台</w:t>
            </w:r>
          </w:p>
        </w:tc>
        <w:tc>
          <w:tcPr>
            <w:tcW w:w="1747" w:type="dxa"/>
          </w:tcPr>
          <w:p w14:paraId="7D734BD3">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套</w:t>
            </w:r>
          </w:p>
        </w:tc>
        <w:tc>
          <w:tcPr>
            <w:tcW w:w="1640" w:type="dxa"/>
          </w:tcPr>
          <w:p w14:paraId="4B30D311">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r>
      <w:tr w14:paraId="0B5B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8C9BC70">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2678" w:type="dxa"/>
          </w:tcPr>
          <w:p w14:paraId="2E4EF592">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国密浏览器</w:t>
            </w:r>
          </w:p>
        </w:tc>
        <w:tc>
          <w:tcPr>
            <w:tcW w:w="1747" w:type="dxa"/>
          </w:tcPr>
          <w:p w14:paraId="262FB68F">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套</w:t>
            </w:r>
          </w:p>
        </w:tc>
        <w:tc>
          <w:tcPr>
            <w:tcW w:w="1640" w:type="dxa"/>
          </w:tcPr>
          <w:p w14:paraId="0F7B6198">
            <w:pPr>
              <w:autoSpaceDE w:val="0"/>
              <w:autoSpaceDN w:val="0"/>
              <w:adjustRightInd w:val="0"/>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r>
    </w:tbl>
    <w:p w14:paraId="5C2C7099">
      <w:pPr>
        <w:autoSpaceDE w:val="0"/>
        <w:autoSpaceDN w:val="0"/>
        <w:adjustRightIn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 制造商服务要求：</w:t>
      </w:r>
    </w:p>
    <w:p w14:paraId="2FE87D31">
      <w:pPr>
        <w:autoSpaceDE w:val="0"/>
        <w:autoSpaceDN w:val="0"/>
        <w:adjustRightIn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a.所投产品制造商需免费提供与本项目采购的密码服务管理系统的对接服务，提供相关技术接口、文档和技术支持；</w:t>
      </w:r>
    </w:p>
    <w:p w14:paraId="051791F4">
      <w:pPr>
        <w:autoSpaceDE w:val="0"/>
        <w:autoSpaceDN w:val="0"/>
        <w:adjustRightIn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b.所投产品制造商需免费提供招标单位后续信息化工程建设中与密码改造相关的技术支持服务；</w:t>
      </w:r>
    </w:p>
    <w:p w14:paraId="7446E640">
      <w:pPr>
        <w:autoSpaceDE w:val="0"/>
        <w:autoSpaceDN w:val="0"/>
        <w:adjustRightInd w:val="0"/>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c. 采购人已经部署了网络安全态势感知平台并有相关对接接口，所投产品制造商需免费提供与该平台的对接服务；</w:t>
      </w:r>
    </w:p>
    <w:p w14:paraId="5EFC105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（三）交货要求</w:t>
      </w:r>
    </w:p>
    <w:p w14:paraId="070B095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交货期：</w:t>
      </w:r>
    </w:p>
    <w:p w14:paraId="4D72D3A8">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货到：签订合同之日起5日内（特殊情况以合同为准）。</w:t>
      </w:r>
    </w:p>
    <w:p w14:paraId="492EA793">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安装部署</w:t>
      </w:r>
      <w:r>
        <w:rPr>
          <w:rFonts w:hint="eastAsia"/>
          <w:color w:val="000000" w:themeColor="text1"/>
          <w:sz w:val="24"/>
          <w:highlight w:val="none"/>
          <w14:textFill>
            <w14:solidFill>
              <w14:schemeClr w14:val="tx1"/>
            </w14:solidFill>
          </w14:textFill>
        </w:rPr>
        <w:t>完成：货到之日起10日内（特殊情况以合同为准）。</w:t>
      </w:r>
    </w:p>
    <w:p w14:paraId="1DDFA08D">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交货地点：天津市河西区南兴道368号（特殊情况以合同为准）。</w:t>
      </w:r>
    </w:p>
    <w:p w14:paraId="271EF526">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提供制造商完整的随机资料，包括完整的使用和维修手册等。</w:t>
      </w:r>
    </w:p>
    <w:p w14:paraId="69AF87E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特别要求：交货时要求供应商就所投产品提供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14:paraId="0DFE4FC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（四）付款方式</w:t>
      </w:r>
    </w:p>
    <w:p w14:paraId="7046BC4F">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货到之日起30日内支付126万元，六个月后支付剩余尾款（特殊情况以合同为准）。</w:t>
      </w:r>
    </w:p>
    <w:p w14:paraId="64B3260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（五）投标保证金和履约保证金</w:t>
      </w:r>
    </w:p>
    <w:p w14:paraId="47C7843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本项目不收取投标保证金和履约保证金。</w:t>
      </w:r>
    </w:p>
    <w:p w14:paraId="4C28BE86">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四、评分因素及评标标准</w:t>
      </w:r>
    </w:p>
    <w:tbl>
      <w:tblPr>
        <w:tblStyle w:val="17"/>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795"/>
        <w:gridCol w:w="7687"/>
        <w:gridCol w:w="1096"/>
      </w:tblGrid>
      <w:tr w14:paraId="7688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3" w:type="dxa"/>
            <w:gridSpan w:val="3"/>
            <w:shd w:val="clear" w:color="auto" w:fill="auto"/>
            <w:vAlign w:val="center"/>
          </w:tcPr>
          <w:p w14:paraId="5B94DD29">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1096" w:type="dxa"/>
            <w:shd w:val="clear" w:color="auto" w:fill="auto"/>
            <w:vAlign w:val="center"/>
          </w:tcPr>
          <w:p w14:paraId="78F55345">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238B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6BFF5EA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795" w:type="dxa"/>
            <w:shd w:val="clear" w:color="auto" w:fill="auto"/>
            <w:vAlign w:val="center"/>
          </w:tcPr>
          <w:p w14:paraId="3EDEC19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687" w:type="dxa"/>
            <w:shd w:val="clear" w:color="auto" w:fill="auto"/>
            <w:vAlign w:val="center"/>
          </w:tcPr>
          <w:p w14:paraId="02B4F1F5">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（1）报价超过采购预算的，</w:t>
            </w:r>
            <w:r>
              <w:rPr>
                <w:rFonts w:hint="eastAsia"/>
                <w:color w:val="000000" w:themeColor="text1"/>
                <w:kern w:val="0"/>
                <w:sz w:val="24"/>
                <w:szCs w:val="24"/>
                <w:highlight w:val="none"/>
                <w14:textFill>
                  <w14:solidFill>
                    <w14:schemeClr w14:val="tx1"/>
                  </w14:solidFill>
                </w14:textFill>
              </w:rPr>
              <w:t>响应</w:t>
            </w:r>
            <w:r>
              <w:rPr>
                <w:color w:val="000000" w:themeColor="text1"/>
                <w:kern w:val="0"/>
                <w:sz w:val="24"/>
                <w:szCs w:val="24"/>
                <w:highlight w:val="none"/>
                <w14:textFill>
                  <w14:solidFill>
                    <w14:schemeClr w14:val="tx1"/>
                  </w14:solidFill>
                </w14:textFill>
              </w:rPr>
              <w:t>无效，未超过采购预算的报价按以下公式进行计算。</w:t>
            </w:r>
          </w:p>
          <w:p w14:paraId="72B2F76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价格</w:t>
            </w:r>
            <w:r>
              <w:rPr>
                <w:color w:val="000000" w:themeColor="text1"/>
                <w:kern w:val="0"/>
                <w:sz w:val="24"/>
                <w:szCs w:val="24"/>
                <w:highlight w:val="none"/>
                <w14:textFill>
                  <w14:solidFill>
                    <w14:schemeClr w14:val="tx1"/>
                  </w14:solidFill>
                </w14:textFill>
              </w:rPr>
              <w:t>得分=（评标基准价/报价）×</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w:t>
            </w:r>
          </w:p>
          <w:p w14:paraId="56CA1B7C">
            <w:pPr>
              <w:widowControl/>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注：满足磋商文件要求且报价最低的报价为评标基准价。</w:t>
            </w:r>
          </w:p>
        </w:tc>
        <w:tc>
          <w:tcPr>
            <w:tcW w:w="1096" w:type="dxa"/>
            <w:shd w:val="clear" w:color="auto" w:fill="auto"/>
            <w:vAlign w:val="center"/>
          </w:tcPr>
          <w:p w14:paraId="228D589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5715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3" w:type="dxa"/>
            <w:gridSpan w:val="3"/>
            <w:shd w:val="clear" w:color="auto" w:fill="auto"/>
            <w:noWrap/>
            <w:vAlign w:val="center"/>
          </w:tcPr>
          <w:p w14:paraId="32B2FC2E">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21</w:t>
            </w:r>
            <w:r>
              <w:rPr>
                <w:color w:val="000000" w:themeColor="text1"/>
                <w:kern w:val="0"/>
                <w:sz w:val="24"/>
                <w:szCs w:val="24"/>
                <w:highlight w:val="none"/>
                <w14:textFill>
                  <w14:solidFill>
                    <w14:schemeClr w14:val="tx1"/>
                  </w14:solidFill>
                </w14:textFill>
              </w:rPr>
              <w:t>分）</w:t>
            </w:r>
          </w:p>
        </w:tc>
        <w:tc>
          <w:tcPr>
            <w:tcW w:w="1096" w:type="dxa"/>
            <w:shd w:val="clear" w:color="auto" w:fill="auto"/>
            <w:vAlign w:val="center"/>
          </w:tcPr>
          <w:p w14:paraId="1781513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26F3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750FFED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795" w:type="dxa"/>
            <w:shd w:val="clear" w:color="auto" w:fill="auto"/>
            <w:vAlign w:val="center"/>
          </w:tcPr>
          <w:p w14:paraId="01B0BA68">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环境标志产品</w:t>
            </w:r>
          </w:p>
        </w:tc>
        <w:tc>
          <w:tcPr>
            <w:tcW w:w="7687" w:type="dxa"/>
            <w:shd w:val="clear" w:color="auto" w:fill="auto"/>
            <w:vAlign w:val="center"/>
          </w:tcPr>
          <w:p w14:paraId="73EBC6B9">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按照《关于调整优化节能产品、环境标志产品政府采购执行机制的通知》（财库〔2019〕9号）判定，投标产品是否属于环境标志产品。</w:t>
            </w:r>
          </w:p>
          <w:p w14:paraId="3733A816">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投标产品为1项的，且投标产品是环境标志产品的：1分</w:t>
            </w:r>
          </w:p>
          <w:p w14:paraId="53C42EBB">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投标产品为多项的，得分为环境标志产品价值权重×1分</w:t>
            </w:r>
          </w:p>
          <w:p w14:paraId="28419480">
            <w:pPr>
              <w:snapToGrid w:val="0"/>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96" w:type="dxa"/>
            <w:shd w:val="clear" w:color="auto" w:fill="auto"/>
            <w:vAlign w:val="center"/>
          </w:tcPr>
          <w:p w14:paraId="76EAC0C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r>
      <w:tr w14:paraId="7DDB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5E98850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795" w:type="dxa"/>
            <w:shd w:val="clear" w:color="auto" w:fill="auto"/>
            <w:vAlign w:val="center"/>
          </w:tcPr>
          <w:p w14:paraId="1C33F213">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节能产品</w:t>
            </w:r>
          </w:p>
        </w:tc>
        <w:tc>
          <w:tcPr>
            <w:tcW w:w="7687" w:type="dxa"/>
            <w:shd w:val="clear" w:color="auto" w:fill="auto"/>
            <w:vAlign w:val="center"/>
          </w:tcPr>
          <w:p w14:paraId="0FDA93E7">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按照《关于调整优化节能产品、环境标志产品政府采购执行机制的通知》（财库〔2019〕9号）判定，投标产品是否属于节能产品。</w:t>
            </w:r>
          </w:p>
          <w:p w14:paraId="4F68C5F5">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投标产品为1项的，且投标产品是非强制采购节能产品的：1分</w:t>
            </w:r>
          </w:p>
          <w:p w14:paraId="017F14F6">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投标产品为多项的，得分为非强制采购节能产品价值权重×1分</w:t>
            </w:r>
          </w:p>
          <w:p w14:paraId="0353C363">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96" w:type="dxa"/>
            <w:shd w:val="clear" w:color="auto" w:fill="auto"/>
            <w:vAlign w:val="center"/>
          </w:tcPr>
          <w:p w14:paraId="3F7B724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r>
      <w:tr w14:paraId="4BF9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746549C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795" w:type="dxa"/>
            <w:shd w:val="clear" w:color="auto" w:fill="auto"/>
            <w:vAlign w:val="center"/>
          </w:tcPr>
          <w:p w14:paraId="6CCB6BE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产品制造商认证评价</w:t>
            </w:r>
          </w:p>
        </w:tc>
        <w:tc>
          <w:tcPr>
            <w:tcW w:w="7687" w:type="dxa"/>
            <w:shd w:val="clear" w:color="auto" w:fill="auto"/>
            <w:vAlign w:val="center"/>
          </w:tcPr>
          <w:p w14:paraId="52F80B7C">
            <w:pPr>
              <w:snapToGrid w:val="0"/>
              <w:rPr>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（1）所投高端安全认证网关产品制造商具备符合GB/T 27922-2011标准的售后服务认证（五星级及以上），具备《国家信息安全测评信息安全服务资质证书（安全工程类三级或以上）；</w:t>
            </w:r>
            <w:r>
              <w:rPr>
                <w:rFonts w:hint="eastAsia"/>
                <w:color w:val="000000" w:themeColor="text1"/>
                <w:kern w:val="0"/>
                <w:sz w:val="24"/>
                <w:szCs w:val="24"/>
                <w:highlight w:val="none"/>
                <w14:textFill>
                  <w14:solidFill>
                    <w14:schemeClr w14:val="tx1"/>
                  </w14:solidFill>
                </w14:textFill>
              </w:rPr>
              <w:t>提供证书扫描件，每提供一项得0.5分，最多1分；</w:t>
            </w:r>
          </w:p>
          <w:p w14:paraId="10DD6A4B">
            <w:pPr>
              <w:snapToGrid w:val="0"/>
              <w:rPr>
                <w:bCs/>
                <w:color w:val="000000" w:themeColor="text1"/>
                <w:sz w:val="24"/>
                <w:highlight w:val="none"/>
                <w14:textFill>
                  <w14:solidFill>
                    <w14:schemeClr w14:val="tx1"/>
                  </w14:solidFill>
                </w14:textFill>
              </w:rPr>
            </w:pPr>
            <w:r>
              <w:rPr>
                <w:rFonts w:hint="eastAsia" w:cs="宋体"/>
                <w:color w:val="000000" w:themeColor="text1"/>
                <w:kern w:val="0"/>
                <w:sz w:val="24"/>
                <w:szCs w:val="22"/>
                <w:highlight w:val="none"/>
                <w14:textFill>
                  <w14:solidFill>
                    <w14:schemeClr w14:val="tx1"/>
                  </w14:solidFill>
                </w14:textFill>
              </w:rPr>
              <w:t>（2）所投日志系统产品制造商须获得信息系统建设和服务能力证书级别不低于CS4级，具备符合IS0 22301:2019 标准的业务连续性管理体系认证证书；</w:t>
            </w:r>
            <w:r>
              <w:rPr>
                <w:rFonts w:hint="eastAsia"/>
                <w:color w:val="000000" w:themeColor="text1"/>
                <w:kern w:val="0"/>
                <w:sz w:val="24"/>
                <w:szCs w:val="24"/>
                <w:highlight w:val="none"/>
                <w14:textFill>
                  <w14:solidFill>
                    <w14:schemeClr w14:val="tx1"/>
                  </w14:solidFill>
                </w14:textFill>
              </w:rPr>
              <w:t>提供证书扫描件，每提供一项得0.5分，最多1分；</w:t>
            </w:r>
          </w:p>
        </w:tc>
        <w:tc>
          <w:tcPr>
            <w:tcW w:w="1096" w:type="dxa"/>
            <w:shd w:val="clear" w:color="auto" w:fill="auto"/>
            <w:vAlign w:val="center"/>
          </w:tcPr>
          <w:p w14:paraId="1943755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4A92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4023AF4D">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795" w:type="dxa"/>
            <w:shd w:val="clear" w:color="auto" w:fill="auto"/>
            <w:vAlign w:val="center"/>
          </w:tcPr>
          <w:p w14:paraId="3408F85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制造商承诺评价</w:t>
            </w:r>
          </w:p>
        </w:tc>
        <w:tc>
          <w:tcPr>
            <w:tcW w:w="7687" w:type="dxa"/>
            <w:shd w:val="clear" w:color="auto" w:fill="auto"/>
            <w:vAlign w:val="center"/>
          </w:tcPr>
          <w:p w14:paraId="572AD8A6">
            <w:pPr>
              <w:snapToGrid w:val="0"/>
              <w:rPr>
                <w:rFonts w:cs="宋体"/>
                <w:color w:val="000000" w:themeColor="text1"/>
                <w:kern w:val="0"/>
                <w:sz w:val="24"/>
                <w:szCs w:val="22"/>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所投产品</w:t>
            </w:r>
            <w:r>
              <w:rPr>
                <w:rFonts w:hint="eastAsia"/>
                <w:color w:val="000000" w:themeColor="text1"/>
                <w:sz w:val="24"/>
                <w:szCs w:val="24"/>
                <w:highlight w:val="none"/>
                <w:lang w:val="zh-CN"/>
                <w14:textFill>
                  <w14:solidFill>
                    <w14:schemeClr w14:val="tx1"/>
                  </w14:solidFill>
                </w14:textFill>
              </w:rPr>
              <w:t>高端安全认证网关、</w:t>
            </w:r>
            <w:r>
              <w:rPr>
                <w:rFonts w:hint="eastAsia" w:ascii="宋体" w:hAnsi="宋体"/>
                <w:color w:val="000000" w:themeColor="text1"/>
                <w:sz w:val="24"/>
                <w:highlight w:val="none"/>
                <w14:textFill>
                  <w14:solidFill>
                    <w14:schemeClr w14:val="tx1"/>
                  </w14:solidFill>
                </w14:textFill>
              </w:rPr>
              <w:t>中高端安全认证网关、中端安全认证网关、服务器密码机、签名验签服务器、堡垒机(运维审计系统)</w:t>
            </w:r>
            <w:r>
              <w:rPr>
                <w:rFonts w:hint="eastAsia"/>
                <w:color w:val="000000" w:themeColor="text1"/>
                <w:sz w:val="24"/>
                <w:highlight w:val="none"/>
                <w14:textFill>
                  <w14:solidFill>
                    <w14:schemeClr w14:val="tx1"/>
                  </w14:solidFill>
                </w14:textFill>
              </w:rPr>
              <w:t>制造商出具项目授权函和售后服务承诺函，每提供一种标的的授权函和承诺函得</w:t>
            </w:r>
            <w:r>
              <w:rPr>
                <w:color w:val="000000" w:themeColor="text1"/>
                <w:sz w:val="24"/>
                <w:highlight w:val="none"/>
                <w14:textFill>
                  <w14:solidFill>
                    <w14:schemeClr w14:val="tx1"/>
                  </w14:solidFill>
                </w14:textFill>
              </w:rPr>
              <w:t>0.5</w:t>
            </w:r>
            <w:r>
              <w:rPr>
                <w:rFonts w:hint="eastAsia"/>
                <w:color w:val="000000" w:themeColor="text1"/>
                <w:sz w:val="24"/>
                <w:highlight w:val="none"/>
                <w14:textFill>
                  <w14:solidFill>
                    <w14:schemeClr w14:val="tx1"/>
                  </w14:solidFill>
                </w14:textFill>
              </w:rPr>
              <w:t>分，最多</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分；</w:t>
            </w:r>
          </w:p>
        </w:tc>
        <w:tc>
          <w:tcPr>
            <w:tcW w:w="1096" w:type="dxa"/>
            <w:shd w:val="clear" w:color="auto" w:fill="auto"/>
            <w:vAlign w:val="center"/>
          </w:tcPr>
          <w:p w14:paraId="21C62C00">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r>
      <w:tr w14:paraId="7A0C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7D8451E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795" w:type="dxa"/>
            <w:shd w:val="clear" w:color="auto" w:fill="auto"/>
            <w:vAlign w:val="center"/>
          </w:tcPr>
          <w:p w14:paraId="58466DB2">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产品认证评价</w:t>
            </w:r>
          </w:p>
        </w:tc>
        <w:tc>
          <w:tcPr>
            <w:tcW w:w="7687" w:type="dxa"/>
            <w:shd w:val="clear" w:color="auto" w:fill="auto"/>
            <w:vAlign w:val="center"/>
          </w:tcPr>
          <w:p w14:paraId="20EB25CD">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具备与所投产品</w:t>
            </w:r>
            <w:r>
              <w:rPr>
                <w:rFonts w:hint="eastAsia" w:cs="宋体"/>
                <w:color w:val="000000" w:themeColor="text1"/>
                <w:kern w:val="0"/>
                <w:sz w:val="24"/>
                <w:szCs w:val="22"/>
                <w:highlight w:val="none"/>
                <w14:textFill>
                  <w14:solidFill>
                    <w14:schemeClr w14:val="tx1"/>
                  </w14:solidFill>
                </w14:textFill>
              </w:rPr>
              <w:t>密码服务管理系统</w:t>
            </w:r>
            <w:r>
              <w:rPr>
                <w:rFonts w:hint="eastAsia"/>
                <w:bCs/>
                <w:color w:val="000000" w:themeColor="text1"/>
                <w:sz w:val="24"/>
                <w:highlight w:val="none"/>
                <w14:textFill>
                  <w14:solidFill>
                    <w14:schemeClr w14:val="tx1"/>
                  </w14:solidFill>
                </w14:textFill>
              </w:rPr>
              <w:t>相关的知识产权证书扫描件，提供</w:t>
            </w:r>
            <w:r>
              <w:rPr>
                <w:rFonts w:hint="eastAsia" w:cs="宋体"/>
                <w:color w:val="000000" w:themeColor="text1"/>
                <w:kern w:val="0"/>
                <w:sz w:val="24"/>
                <w:szCs w:val="22"/>
                <w:highlight w:val="none"/>
                <w14:textFill>
                  <w14:solidFill>
                    <w14:schemeClr w14:val="tx1"/>
                  </w14:solidFill>
                </w14:textFill>
              </w:rPr>
              <w:t>《计算机软件著作权登记证书》</w:t>
            </w:r>
            <w:r>
              <w:rPr>
                <w:rFonts w:hint="eastAsia"/>
                <w:bCs/>
                <w:color w:val="000000" w:themeColor="text1"/>
                <w:sz w:val="24"/>
                <w:highlight w:val="none"/>
                <w14:textFill>
                  <w14:solidFill>
                    <w14:schemeClr w14:val="tx1"/>
                  </w14:solidFill>
                </w14:textFill>
              </w:rPr>
              <w:t>得1分，最多1分</w:t>
            </w:r>
          </w:p>
        </w:tc>
        <w:tc>
          <w:tcPr>
            <w:tcW w:w="1096" w:type="dxa"/>
            <w:shd w:val="clear" w:color="auto" w:fill="auto"/>
            <w:vAlign w:val="center"/>
          </w:tcPr>
          <w:p w14:paraId="7815DEA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r>
      <w:tr w14:paraId="771D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43BEF23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795" w:type="dxa"/>
            <w:shd w:val="clear" w:color="auto" w:fill="auto"/>
            <w:vAlign w:val="center"/>
          </w:tcPr>
          <w:p w14:paraId="0F5F78F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供应商业绩</w:t>
            </w:r>
          </w:p>
        </w:tc>
        <w:tc>
          <w:tcPr>
            <w:tcW w:w="7687" w:type="dxa"/>
            <w:shd w:val="clear" w:color="auto" w:fill="auto"/>
            <w:vAlign w:val="center"/>
          </w:tcPr>
          <w:p w14:paraId="5CB01955">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完全按照以下要求提供供应商曾实施的密评改造项目业绩，提供的证明材料均不得遮挡涂黑，否则不予认定加分。</w:t>
            </w:r>
          </w:p>
          <w:p w14:paraId="6AC8B2E9">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 合同原件扫描件。包括合同金额、买卖双方名称及盖章、服务内容、合同签订日期（应为2021年1月1日或以后）。</w:t>
            </w:r>
          </w:p>
          <w:p w14:paraId="3084771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上述合同履行良好的相关证明材料原件扫描件（加盖上述合同甲方单位公章或上述合同中所盖的甲方印章）。</w:t>
            </w:r>
          </w:p>
          <w:p w14:paraId="64D9EDFF">
            <w:pPr>
              <w:widowControl/>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每个业绩1分，最多2分</w:t>
            </w:r>
          </w:p>
        </w:tc>
        <w:tc>
          <w:tcPr>
            <w:tcW w:w="1096" w:type="dxa"/>
            <w:shd w:val="clear" w:color="auto" w:fill="auto"/>
            <w:vAlign w:val="center"/>
          </w:tcPr>
          <w:p w14:paraId="178C2967">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5011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333FC5C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795" w:type="dxa"/>
            <w:shd w:val="clear" w:color="auto" w:fill="auto"/>
            <w:vAlign w:val="center"/>
          </w:tcPr>
          <w:p w14:paraId="30930AC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产品参数证明评价</w:t>
            </w:r>
          </w:p>
        </w:tc>
        <w:tc>
          <w:tcPr>
            <w:tcW w:w="7687" w:type="dxa"/>
            <w:shd w:val="clear" w:color="auto" w:fill="auto"/>
            <w:vAlign w:val="center"/>
          </w:tcPr>
          <w:p w14:paraId="141169EF">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提供高端安全认证网关的技术支撑材料扫描件，上述技术支撑材料能证明所投产品满足以下参数要求得6分；</w:t>
            </w:r>
          </w:p>
          <w:p w14:paraId="7B19B00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IPSec/SSL国密加解密吞吐率≥3000Mbps，最大并发连接数≥30000，整机吞吐≥60Gbps； </w:t>
            </w:r>
          </w:p>
          <w:p w14:paraId="23837502">
            <w:pPr>
              <w:snapToGrid w:val="0"/>
              <w:rPr>
                <w:bCs/>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技术支撑材料是指具备中国合格评定国家认可委员会（CNAS）认可的权威第三方检测机构出具的检测报告，或</w:t>
            </w:r>
            <w:r>
              <w:rPr>
                <w:rFonts w:hint="eastAsia"/>
                <w:bCs/>
                <w:color w:val="000000" w:themeColor="text1"/>
                <w:sz w:val="24"/>
                <w:highlight w:val="none"/>
                <w14:textFill>
                  <w14:solidFill>
                    <w14:schemeClr w14:val="tx1"/>
                  </w14:solidFill>
                </w14:textFill>
              </w:rPr>
              <w:t>具有CMA标识的检测/检验/试验/测试报告。</w:t>
            </w:r>
          </w:p>
          <w:p w14:paraId="052C8D7F">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若上述技术支撑材料证明所投产品不能满足磋商文件中</w:t>
            </w:r>
            <w:r>
              <w:rPr>
                <w:rFonts w:hint="eastAsia"/>
                <w:color w:val="000000" w:themeColor="text1"/>
                <w:kern w:val="0"/>
                <w:sz w:val="24"/>
                <w:szCs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r>
              <w:rPr>
                <w:rFonts w:hint="eastAsia"/>
                <w:bCs/>
                <w:color w:val="000000" w:themeColor="text1"/>
                <w:sz w:val="24"/>
                <w:highlight w:val="none"/>
                <w14:textFill>
                  <w14:solidFill>
                    <w14:schemeClr w14:val="tx1"/>
                  </w14:solidFill>
                </w14:textFill>
              </w:rPr>
              <w:t>的，则视为无效投标。</w:t>
            </w:r>
          </w:p>
        </w:tc>
        <w:tc>
          <w:tcPr>
            <w:tcW w:w="1096" w:type="dxa"/>
            <w:shd w:val="clear" w:color="auto" w:fill="auto"/>
            <w:vAlign w:val="center"/>
          </w:tcPr>
          <w:p w14:paraId="193CE45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229B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3FBBC2D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795" w:type="dxa"/>
            <w:shd w:val="clear" w:color="auto" w:fill="auto"/>
            <w:vAlign w:val="center"/>
          </w:tcPr>
          <w:p w14:paraId="212FAEA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非“★”技术要求（不含上述产品参数证明评价中的参数要求）响应性评价</w:t>
            </w:r>
          </w:p>
        </w:tc>
        <w:tc>
          <w:tcPr>
            <w:tcW w:w="7687" w:type="dxa"/>
            <w:shd w:val="clear" w:color="auto" w:fill="auto"/>
            <w:vAlign w:val="center"/>
          </w:tcPr>
          <w:p w14:paraId="3D4C9ECD">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完全满足无偏离的得5分；</w:t>
            </w:r>
          </w:p>
          <w:p w14:paraId="3F74FFA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劣于磋商文件要求或未做应答的不足10条的，每出现1条以上情形减0.5分</w:t>
            </w:r>
          </w:p>
          <w:p w14:paraId="06809A1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劣于磋商文件要求或未做应答≥10条的，本项得0分</w:t>
            </w:r>
          </w:p>
        </w:tc>
        <w:tc>
          <w:tcPr>
            <w:tcW w:w="1096" w:type="dxa"/>
            <w:shd w:val="clear" w:color="auto" w:fill="auto"/>
            <w:vAlign w:val="center"/>
          </w:tcPr>
          <w:p w14:paraId="0EA31CF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4781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33" w:type="dxa"/>
            <w:gridSpan w:val="3"/>
            <w:shd w:val="clear" w:color="auto" w:fill="auto"/>
            <w:noWrap/>
            <w:vAlign w:val="center"/>
          </w:tcPr>
          <w:p w14:paraId="3A4DAA2C">
            <w:pPr>
              <w:snapToGrid w:val="0"/>
              <w:jc w:val="center"/>
              <w:rPr>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三</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主观分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49</w:t>
            </w:r>
            <w:r>
              <w:rPr>
                <w:color w:val="000000" w:themeColor="text1"/>
                <w:kern w:val="0"/>
                <w:sz w:val="24"/>
                <w:szCs w:val="24"/>
                <w:highlight w:val="none"/>
                <w14:textFill>
                  <w14:solidFill>
                    <w14:schemeClr w14:val="tx1"/>
                  </w14:solidFill>
                </w14:textFill>
              </w:rPr>
              <w:t>分）</w:t>
            </w:r>
          </w:p>
        </w:tc>
        <w:tc>
          <w:tcPr>
            <w:tcW w:w="1096" w:type="dxa"/>
            <w:shd w:val="clear" w:color="auto" w:fill="auto"/>
            <w:vAlign w:val="center"/>
          </w:tcPr>
          <w:p w14:paraId="508633E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2D12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5B296E6E">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795" w:type="dxa"/>
            <w:shd w:val="clear" w:color="auto" w:fill="auto"/>
            <w:vAlign w:val="center"/>
          </w:tcPr>
          <w:p w14:paraId="5F7E66E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密码方案评价</w:t>
            </w:r>
          </w:p>
        </w:tc>
        <w:tc>
          <w:tcPr>
            <w:tcW w:w="7687" w:type="dxa"/>
            <w:shd w:val="clear" w:color="auto" w:fill="auto"/>
            <w:vAlign w:val="center"/>
          </w:tcPr>
          <w:p w14:paraId="0F3F5A55">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至少包含符合GB-T 39786-2021《信息安全技术 信息系统密码应用基本要求》的密码产品应用方案、密码产品与密码服务管理平台集成对接方案、密码产品与网络安全态势感知平台集成对接方案、密码应用安全性评估得分方案等；</w:t>
            </w:r>
          </w:p>
          <w:p w14:paraId="0C79264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12</w:t>
            </w:r>
            <w:r>
              <w:rPr>
                <w:color w:val="000000" w:themeColor="text1"/>
                <w:kern w:val="0"/>
                <w:sz w:val="24"/>
                <w:szCs w:val="24"/>
                <w:highlight w:val="none"/>
                <w14:textFill>
                  <w14:solidFill>
                    <w14:schemeClr w14:val="tx1"/>
                  </w14:solidFill>
                </w14:textFill>
              </w:rPr>
              <w:t>分；</w:t>
            </w:r>
          </w:p>
          <w:p w14:paraId="1EBD480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14:paraId="5E8037A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77E349EB">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6597B72D">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96" w:type="dxa"/>
            <w:shd w:val="clear" w:color="auto" w:fill="auto"/>
            <w:vAlign w:val="center"/>
          </w:tcPr>
          <w:p w14:paraId="085B2E77">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12</w:t>
            </w:r>
          </w:p>
        </w:tc>
      </w:tr>
      <w:tr w14:paraId="3B2B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2F6F9DC4">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795" w:type="dxa"/>
            <w:shd w:val="clear" w:color="auto" w:fill="auto"/>
            <w:vAlign w:val="center"/>
          </w:tcPr>
          <w:p w14:paraId="6804255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性能、服务调优方案评价</w:t>
            </w:r>
          </w:p>
        </w:tc>
        <w:tc>
          <w:tcPr>
            <w:tcW w:w="7687" w:type="dxa"/>
            <w:shd w:val="clear" w:color="auto" w:fill="auto"/>
            <w:vAlign w:val="center"/>
          </w:tcPr>
          <w:p w14:paraId="0219833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至少包含密码应用性能测试方案、密码服务调优方案等；</w:t>
            </w:r>
          </w:p>
          <w:p w14:paraId="27CB1A6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12</w:t>
            </w:r>
            <w:r>
              <w:rPr>
                <w:color w:val="000000" w:themeColor="text1"/>
                <w:kern w:val="0"/>
                <w:sz w:val="24"/>
                <w:szCs w:val="24"/>
                <w:highlight w:val="none"/>
                <w14:textFill>
                  <w14:solidFill>
                    <w14:schemeClr w14:val="tx1"/>
                  </w14:solidFill>
                </w14:textFill>
              </w:rPr>
              <w:t>分；</w:t>
            </w:r>
          </w:p>
          <w:p w14:paraId="35C0202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14:paraId="269E875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2ABB8C5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802EC9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96" w:type="dxa"/>
            <w:shd w:val="clear" w:color="auto" w:fill="auto"/>
            <w:vAlign w:val="center"/>
          </w:tcPr>
          <w:p w14:paraId="233B760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12</w:t>
            </w:r>
          </w:p>
        </w:tc>
      </w:tr>
      <w:tr w14:paraId="0EDA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7DED6E3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795" w:type="dxa"/>
            <w:shd w:val="clear" w:color="auto" w:fill="auto"/>
            <w:vAlign w:val="center"/>
          </w:tcPr>
          <w:p w14:paraId="18AB186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安装实施方案评价</w:t>
            </w:r>
          </w:p>
        </w:tc>
        <w:tc>
          <w:tcPr>
            <w:tcW w:w="7687" w:type="dxa"/>
            <w:shd w:val="clear" w:color="auto" w:fill="auto"/>
            <w:vAlign w:val="center"/>
          </w:tcPr>
          <w:p w14:paraId="76D476E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至少包含网络实施拓扑图、设备上下行互联关系、新购设备与现网对接说明、实施部署计划、安全作业保障制度、突发事件的预判及处置方法等；</w:t>
            </w:r>
          </w:p>
          <w:p w14:paraId="4FE2079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12</w:t>
            </w:r>
            <w:r>
              <w:rPr>
                <w:color w:val="000000" w:themeColor="text1"/>
                <w:kern w:val="0"/>
                <w:sz w:val="24"/>
                <w:szCs w:val="24"/>
                <w:highlight w:val="none"/>
                <w14:textFill>
                  <w14:solidFill>
                    <w14:schemeClr w14:val="tx1"/>
                  </w14:solidFill>
                </w14:textFill>
              </w:rPr>
              <w:t>分；</w:t>
            </w:r>
          </w:p>
          <w:p w14:paraId="2D4AAC0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8</w:t>
            </w:r>
            <w:r>
              <w:rPr>
                <w:color w:val="000000" w:themeColor="text1"/>
                <w:kern w:val="0"/>
                <w:sz w:val="24"/>
                <w:szCs w:val="24"/>
                <w:highlight w:val="none"/>
                <w14:textFill>
                  <w14:solidFill>
                    <w14:schemeClr w14:val="tx1"/>
                  </w14:solidFill>
                </w14:textFill>
              </w:rPr>
              <w:t>分；</w:t>
            </w:r>
          </w:p>
          <w:p w14:paraId="24B6B03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0F93B4E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308FEA3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96" w:type="dxa"/>
            <w:shd w:val="clear" w:color="auto" w:fill="auto"/>
            <w:vAlign w:val="center"/>
          </w:tcPr>
          <w:p w14:paraId="1C193A3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12</w:t>
            </w:r>
          </w:p>
        </w:tc>
      </w:tr>
      <w:tr w14:paraId="3052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621A8D8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795" w:type="dxa"/>
            <w:shd w:val="clear" w:color="auto" w:fill="auto"/>
            <w:vAlign w:val="center"/>
          </w:tcPr>
          <w:p w14:paraId="2FB4244C">
            <w:pPr>
              <w:widowControl/>
              <w:tabs>
                <w:tab w:val="left" w:pos="571"/>
              </w:tabs>
              <w:snapToGrid w:val="0"/>
              <w:jc w:val="left"/>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密码服务管理系统赋能评价</w:t>
            </w:r>
          </w:p>
        </w:tc>
        <w:tc>
          <w:tcPr>
            <w:tcW w:w="7687" w:type="dxa"/>
            <w:shd w:val="clear" w:color="auto" w:fill="auto"/>
            <w:vAlign w:val="center"/>
          </w:tcPr>
          <w:p w14:paraId="2CE1508D">
            <w:pPr>
              <w:snapToGrid w:val="0"/>
              <w:spacing w:line="40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至少包含国密安全基线检查方案和密码设施高效管理方案等；</w:t>
            </w:r>
          </w:p>
          <w:p w14:paraId="5ADBFC0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445F707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C6AE86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4C62FA2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C23AD9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96" w:type="dxa"/>
            <w:shd w:val="clear" w:color="auto" w:fill="auto"/>
            <w:vAlign w:val="center"/>
          </w:tcPr>
          <w:p w14:paraId="4FC76A9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79DF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shd w:val="clear" w:color="auto" w:fill="auto"/>
            <w:noWrap/>
            <w:vAlign w:val="center"/>
          </w:tcPr>
          <w:p w14:paraId="5E18402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795" w:type="dxa"/>
            <w:shd w:val="clear" w:color="auto" w:fill="auto"/>
            <w:vAlign w:val="center"/>
          </w:tcPr>
          <w:p w14:paraId="6362CC1F">
            <w:pPr>
              <w:widowControl/>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687" w:type="dxa"/>
            <w:shd w:val="clear" w:color="auto" w:fill="auto"/>
            <w:vAlign w:val="center"/>
          </w:tcPr>
          <w:p w14:paraId="603DAFEE">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至少包含制造商服务承诺、投标人服务承诺、免费保修期时间、服务响应时间、培训方案等；</w:t>
            </w:r>
          </w:p>
          <w:p w14:paraId="3993222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5C9283E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BDAAB7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0EF1458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3处瑕疵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14:paraId="59044C2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4处及以上瑕疵</w:t>
            </w:r>
            <w:r>
              <w:rPr>
                <w:color w:val="000000" w:themeColor="text1"/>
                <w:kern w:val="0"/>
                <w:sz w:val="24"/>
                <w:szCs w:val="24"/>
                <w:highlight w:val="none"/>
                <w14:textFill>
                  <w14:solidFill>
                    <w14:schemeClr w14:val="tx1"/>
                  </w14:solidFill>
                </w14:textFill>
              </w:rPr>
              <w:t>：0分；</w:t>
            </w:r>
          </w:p>
          <w:p w14:paraId="14E9D899">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96" w:type="dxa"/>
            <w:shd w:val="clear" w:color="auto" w:fill="auto"/>
            <w:vAlign w:val="center"/>
          </w:tcPr>
          <w:p w14:paraId="6A271F0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r>
    </w:tbl>
    <w:p w14:paraId="7E484727">
      <w:pPr>
        <w:spacing w:line="360" w:lineRule="auto"/>
        <w:ind w:firstLine="480" w:firstLineChars="200"/>
        <w:outlineLvl w:val="0"/>
        <w:rPr>
          <w:color w:val="000000" w:themeColor="text1"/>
          <w:sz w:val="24"/>
          <w:highlight w:val="none"/>
          <w14:textFill>
            <w14:solidFill>
              <w14:schemeClr w14:val="tx1"/>
            </w14:solidFill>
          </w14:textFill>
        </w:rPr>
      </w:pPr>
    </w:p>
    <w:p w14:paraId="35DE9848">
      <w:pPr>
        <w:spacing w:line="360" w:lineRule="auto"/>
        <w:ind w:firstLine="480" w:firstLineChars="200"/>
        <w:outlineLvl w:val="0"/>
        <w:rPr>
          <w:color w:val="000000" w:themeColor="text1"/>
          <w:sz w:val="24"/>
          <w:highlight w:val="none"/>
          <w14:textFill>
            <w14:solidFill>
              <w14:schemeClr w14:val="tx1"/>
            </w14:solidFill>
          </w14:textFill>
        </w:rPr>
      </w:pPr>
    </w:p>
    <w:p w14:paraId="3784D866">
      <w:pPr>
        <w:spacing w:line="360" w:lineRule="auto"/>
        <w:ind w:firstLine="480" w:firstLineChars="200"/>
        <w:outlineLvl w:val="0"/>
        <w:rPr>
          <w:color w:val="000000" w:themeColor="text1"/>
          <w:sz w:val="24"/>
          <w:highlight w:val="none"/>
          <w14:textFill>
            <w14:solidFill>
              <w14:schemeClr w14:val="tx1"/>
            </w14:solidFill>
          </w14:textFill>
        </w:rPr>
      </w:pPr>
    </w:p>
    <w:p w14:paraId="7E6E9D83">
      <w:pPr>
        <w:pStyle w:val="29"/>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134F8173">
      <w:pPr>
        <w:pStyle w:val="14"/>
        <w:rPr>
          <w:rFonts w:ascii="Times New Roman" w:hAnsi="Times New Roman"/>
          <w:color w:val="000000" w:themeColor="text1"/>
          <w:highlight w:val="none"/>
          <w:lang w:val="en-US"/>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6082B5EC">
      <w:pPr>
        <w:pStyle w:val="1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14:paraId="118A011E">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8" w:name="_Toc411426751"/>
    </w:p>
    <w:p w14:paraId="7659A254">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14:paraId="67B566D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14:paraId="3536A5A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14:paraId="0C7E2BA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本竞争性磋商文件仅适用于磋商邀请函中所叙述项目货物和服务的采购。</w:t>
      </w:r>
    </w:p>
    <w:p w14:paraId="5F5D3E5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14:paraId="172CA06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14:paraId="2612C71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14:paraId="396BB8B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“供应商”系指向采购代理机构提交响应文件的供应商。</w:t>
      </w:r>
    </w:p>
    <w:p w14:paraId="749ACAC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“货物”系指供应商按竞争性磋商文件规定，须向采购人提供的各种形态和种类的物品（包括原材料、燃料、设备、产品等）、备品备件、工具、手册及其它有关技术资料和材料。</w:t>
      </w:r>
    </w:p>
    <w:p w14:paraId="716317C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“服务”系指竞争性磋商文件规定供应商须承担的运输、安装、调试、技术协助、校准、培训、维修以及其它类似的义务。</w:t>
      </w:r>
    </w:p>
    <w:p w14:paraId="0193159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14:paraId="02AF160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14:paraId="11ED90F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61DE56E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合格的供应商</w:t>
      </w:r>
    </w:p>
    <w:p w14:paraId="29B9F72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符合《中华人民共和国政府采购法》第二十二条供应商参加政府采购活动应当具备的条件及其他有关法律、法规关于供应商的有关规定，有能力提供磋商采购货物及服务的供应商。</w:t>
      </w:r>
    </w:p>
    <w:p w14:paraId="5E4BCA7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14:paraId="1CA2362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关于联合体参与磋商</w:t>
      </w:r>
    </w:p>
    <w:p w14:paraId="16036B1B">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《磋商邀请函》接受联合体参与磋商的：</w:t>
      </w:r>
    </w:p>
    <w:p w14:paraId="1C30997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0F7D307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当符合《中华人民共和国政府采购法》第二十二条第一款规定的条件，根据采购项目的特殊要求规定供应商特定条件的，联合体各方中至少应当有一方符合《磋商邀请函》规定的供应商资格条件（实质性要求）。</w:t>
      </w:r>
    </w:p>
    <w:p w14:paraId="50B9403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6DE04E0C">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hint="eastAsia" w:ascii="宋体" w:hAnsi="宋体" w:eastAsia="宋体" w:cs="Times New Roman"/>
          <w:color w:val="000000" w:themeColor="text1"/>
          <w:highlight w:val="none"/>
          <w14:textFill>
            <w14:solidFill>
              <w14:schemeClr w14:val="tx1"/>
            </w14:solidFill>
          </w14:textFill>
        </w:rPr>
        <w:t>下载竞争性磋商文件时，应以联合体协议中确定的主体方名义下载。</w:t>
      </w:r>
    </w:p>
    <w:p w14:paraId="511F0FA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14:paraId="2FA960A7">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FEDA35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2AA0DF3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789FC57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关于关联企业</w:t>
      </w:r>
    </w:p>
    <w:p w14:paraId="2467AF4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hint="eastAsia" w:ascii="Times New Roman" w:hAnsi="Times New Roman" w:eastAsia="宋体" w:cs="Times New Roman"/>
          <w:color w:val="000000" w:themeColor="text1"/>
          <w:highlight w:val="none"/>
          <w14:textFill>
            <w14:solidFill>
              <w14:schemeClr w14:val="tx1"/>
            </w14:solidFill>
          </w14:textFill>
        </w:rPr>
        <w:t>。如同时参加，则评审时将同时被拒绝。</w:t>
      </w:r>
    </w:p>
    <w:p w14:paraId="38BB845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关于分公司参与磋商</w:t>
      </w:r>
    </w:p>
    <w:p w14:paraId="0CD1DAA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69BCE2B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关于提供前期服务的供应商</w:t>
      </w:r>
    </w:p>
    <w:p w14:paraId="0E53A33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39A82E3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关于中小微企业参与磋商</w:t>
      </w:r>
    </w:p>
    <w:p w14:paraId="0401122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14:paraId="382126E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ADF08A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095B84C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14:paraId="170169E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供应商承担。</w:t>
      </w:r>
    </w:p>
    <w:p w14:paraId="2C47E7A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除《磋商项目需求》有特殊规定外，供应商提供的货物应当是全新的、未使用过的，货物和相关服务应当符合竞争性磋商文件的要求，并且其质量完全符合国家标准、行业标准或地方标准。</w:t>
      </w:r>
    </w:p>
    <w:p w14:paraId="5D8EE8B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供应商应当说明投标货物的来源地，如投标的货物非供应商生产或制造的，则交货时有义务提供其从合法途径获得该货物的相关证明。</w:t>
      </w:r>
    </w:p>
    <w:p w14:paraId="4E83197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系统软件、通用软件必须是具有在中国境内的合法使用权或版权的正版软件，涉及到第三方提出侵权或知识产权的起诉及支付版税等费用由供应商承担所有责任及费用。</w:t>
      </w:r>
    </w:p>
    <w:p w14:paraId="1674A14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磋商费用</w:t>
      </w:r>
    </w:p>
    <w:p w14:paraId="135CF43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无论投标过程中的做法和结果如何，供应商自行承担所有与参加磋商有关的费用。</w:t>
      </w:r>
    </w:p>
    <w:p w14:paraId="7011DBB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14:paraId="7827C1D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000000" w:themeColor="text1"/>
          <w:highlight w:val="none"/>
          <w14:textFill>
            <w14:solidFill>
              <w14:schemeClr w14:val="tx1"/>
            </w14:solidFill>
          </w14:textFill>
        </w:rPr>
        <w:t>天津政府采购网（http://tjgp.cz.tj.gov.cn）</w:t>
      </w:r>
      <w:r>
        <w:rPr>
          <w:rFonts w:hint="eastAsia" w:ascii="Times New Roman" w:hAnsi="Times New Roman" w:eastAsia="宋体" w:cs="Times New Roman"/>
          <w:color w:val="000000" w:themeColor="text1"/>
          <w:highlight w:val="none"/>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”公开发布。供应商在参与本采购项目磋商活动期间，请及时关注上述媒体和天津市政府采购中心招投标系统“查看项目文件”的相关信息。因没有及时关注而未能如期获取相关信息，供应商自行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14:paraId="2845442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04556D2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C49663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06E2CE7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461711C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7E10FC3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6CA9BC4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46A8BD0B">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269335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28E2D94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1B78398">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840142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14:paraId="6D52871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 其他</w:t>
      </w:r>
    </w:p>
    <w:p w14:paraId="1214820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14:paraId="37CCFAE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DC2E1F0">
      <w:pPr>
        <w:pStyle w:val="29"/>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竞争性磋商文件</w:t>
      </w:r>
    </w:p>
    <w:p w14:paraId="4862827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竞争性磋商文件的构成</w:t>
      </w:r>
    </w:p>
    <w:p w14:paraId="0634C82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竞争性磋商文件由下述部分组成：</w:t>
      </w:r>
    </w:p>
    <w:p w14:paraId="31EE883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（1）磋商邀请函；</w:t>
      </w:r>
    </w:p>
    <w:p w14:paraId="26EC3A8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（2）磋商项目要求；</w:t>
      </w:r>
    </w:p>
    <w:p w14:paraId="4F8D849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（3）供应商须知；</w:t>
      </w:r>
    </w:p>
    <w:p w14:paraId="032455E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（4）合同草案；</w:t>
      </w:r>
    </w:p>
    <w:p w14:paraId="23FFFF2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（5）响应文件格式；</w:t>
      </w:r>
    </w:p>
    <w:p w14:paraId="2EEBF6D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（6）竞争性磋商文件的更正公告内容（如有）。</w:t>
      </w:r>
    </w:p>
    <w:p w14:paraId="2D68D8F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除非有特殊要求，竞争性磋商文件不单独提供磋商项目使用地的自然环境、气候条件、公用设施等情况，供应商被视为熟悉上述与履行合同有关的一切情况。</w:t>
      </w:r>
    </w:p>
    <w:p w14:paraId="2A584D2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《磋商项目需求》加注“★”号条款为实质性技术条款，不得出现负偏离，发生负偏离即做无效标处理。</w:t>
      </w:r>
    </w:p>
    <w:p w14:paraId="1895A23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竞争性磋商文件中涉及的参照品牌、型号仅起说明作用，并没有任何限制性，供应商在投标中可以选用其他替代品牌或型号，但这些替代要实质上优于或相当于磋商要求。</w:t>
      </w:r>
    </w:p>
    <w:p w14:paraId="3F7C32C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14:paraId="1AB3E0B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竞争性磋商文件的澄清和修改</w:t>
      </w:r>
    </w:p>
    <w:p w14:paraId="01C1AF9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提交首次响应文件截止之日前，采购人、采购代理机构需要对磋商文件进行补充或修改的，采购人、采购代理机构将会通过“天津市政府采购网”、“天津市政府采购中心网”以更正公告形式发布。</w:t>
      </w:r>
    </w:p>
    <w:p w14:paraId="7E791FA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7BFF23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供应商自行承担，采购人、采购代理机构不承担任何责任。</w:t>
      </w:r>
    </w:p>
    <w:p w14:paraId="69BBAFF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14:paraId="605BB42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供应商自行承担，采购人、采购代理机构不承担任何责任。</w:t>
      </w:r>
    </w:p>
    <w:p w14:paraId="391C542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14:paraId="0ED5374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12.1 采购人、采购代理机构召开答疑会的，所有供应商应按《磋商邀请函》规定的时间、地点参加答疑会。供应商如不参加，其风险由供应商自行承担，采购人、采购代理机构不承担任何责任。</w:t>
      </w:r>
    </w:p>
    <w:p w14:paraId="24B69A3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12.2 采购人、采购代理机构组织踏勘现场的，所有供应商按《磋商邀请函》规定的时间、地点参加踏勘现场活动。供应商如不参加，其风险由供应商自行承担，采购人、采购代理机构不承担任何责任。</w:t>
      </w:r>
    </w:p>
    <w:p w14:paraId="0C46769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竞争性磋商文件的修改，不作为供应商编制响应文件的依据。</w:t>
      </w:r>
    </w:p>
    <w:p w14:paraId="06402D1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670E819A">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响应文件的编制</w:t>
      </w:r>
    </w:p>
    <w:p w14:paraId="328EDE4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14:paraId="2DF1B11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供应商应仔细阅读竞争性磋商文件的所有内容，按竞争性磋商文件要求编制响应文件，以使其投标对竞争性磋商文件做出实质性响应。否则，其响应文件可能被拒绝，供应商须自行承担由此引起的风险和责任。</w:t>
      </w:r>
    </w:p>
    <w:p w14:paraId="2C22B54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供应商应根据磋商项目需求和响应文件格式编制响应文件，保证其真实有效，并承担相应的法律责任。</w:t>
      </w:r>
    </w:p>
    <w:p w14:paraId="4A90AE3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供应商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B7977B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14:paraId="6DF340C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供应商和采购代理机构就投标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磋商小组有权拒绝其参与磋商。</w:t>
      </w:r>
    </w:p>
    <w:p w14:paraId="28084E0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14:paraId="61A676F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响应文件格式</w:t>
      </w:r>
    </w:p>
    <w:p w14:paraId="4A2F282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供应商应按竞争性磋商文件第五部分提供的响应文件格式完整填写。因不按要求编制而引起系统无法检索、读取相关信息时，其后果由供应商自行承担。</w:t>
      </w:r>
    </w:p>
    <w:p w14:paraId="0E23C65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供应商可对本竞争性磋商文件“磋商项目要求”所列的所有货物进行投标，也可只对其中一包或几包的货物投标；若无特殊说明，每一包的内容不得分项投标，原则上按照整包确定成交供应商。</w:t>
      </w:r>
    </w:p>
    <w:p w14:paraId="0D7BF81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14:paraId="67E8EB4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14:paraId="6D96349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 响应文件的组成</w:t>
      </w:r>
    </w:p>
    <w:p w14:paraId="366B869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按照《磋商邀请函》规定的时间分别上传加盖电子签章的两阶段电子响应文件。</w:t>
      </w:r>
    </w:p>
    <w:p w14:paraId="5617996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报价</w:t>
      </w:r>
    </w:p>
    <w:p w14:paraId="626443D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14:paraId="3B8B063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17.2 报价是</w:t>
      </w:r>
      <w:r>
        <w:rPr>
          <w:rFonts w:hint="eastAsia"/>
          <w:color w:val="000000" w:themeColor="text1"/>
          <w:highlight w:val="none"/>
          <w14:textFill>
            <w14:solidFill>
              <w14:schemeClr w14:val="tx1"/>
            </w14:solidFill>
          </w14:textFill>
        </w:rPr>
        <w:t>为完成竞争性磋商文件规定的一切工作所需的全部费用的最终优惠价格。</w:t>
      </w:r>
    </w:p>
    <w:p w14:paraId="5F79480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14:paraId="4ACD70F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供应商资格证明文件</w:t>
      </w:r>
    </w:p>
    <w:p w14:paraId="46746D1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供应商必须提交证明其有资格进行投标和有能力履行合同的文件，作为响应文件的一部分。</w:t>
      </w:r>
    </w:p>
    <w:p w14:paraId="7B8989E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14:paraId="667D5E5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72999C4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合格的供应商”相关要求的，按其要求执行。</w:t>
      </w:r>
    </w:p>
    <w:p w14:paraId="0A0E2E9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技术响应文件</w:t>
      </w:r>
    </w:p>
    <w:p w14:paraId="5D1EDB3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供应商须提交证明其拟供货物符合竞争性磋商文件规定的技术响应文件，作为响应文件的一部分。</w:t>
      </w:r>
    </w:p>
    <w:p w14:paraId="03CD47F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19.2 上述文件可以是文字资料、图纸或数据，并须提供：</w:t>
      </w:r>
    </w:p>
    <w:p w14:paraId="754FA1C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14:paraId="0AFE4C9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（2）保证货物从采购人开始使用至竞争性磋商文件规定的保修期内正常和连续运转期间所需要的所有备件和专用工具的详细清单，包括其现行价格和供货来源资料；</w:t>
      </w:r>
    </w:p>
    <w:p w14:paraId="58CC71D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363898D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19.3 响应文件中设备的性能指标应达到或优于竞争性磋商文件中所列技术指标。供应商应注意竞争性磋商文件中所列技术指标仅列出了最低限度。供应商在《技术要求点对点应答表》“采购清单技术参数”的投标应答中必须列出具体数值或内容。如供应商未应答或只注明“符合”、“满足”等类似无具体内容的表述，将被视为不符合竞争性磋商文件要求。供应商自行承担由此造成的一切后果。</w:t>
      </w:r>
    </w:p>
    <w:p w14:paraId="344CC92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投标保证金</w:t>
      </w:r>
    </w:p>
    <w:p w14:paraId="00CE7EF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按照《磋商项目需求》要求执行。</w:t>
      </w:r>
    </w:p>
    <w:p w14:paraId="0CEAA03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符合《中华人民共和国政府采购法实施条例》和《政府采购竞争性磋商采购方式管理暂行办法》相关规定。</w:t>
      </w:r>
    </w:p>
    <w:p w14:paraId="2011B5A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磋商有效期</w:t>
      </w:r>
    </w:p>
    <w:p w14:paraId="6271975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14:paraId="3AC7255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供应商提出延长磋商有效期的要求。答复应以书面形式进行。供应商可以拒绝上述要求，但不被没收投标保证金。对于同意该要求的供应商，既不要求也不允许其修改响应文件，但将要求其延长投标保证金的有效期。</w:t>
      </w:r>
    </w:p>
    <w:p w14:paraId="04EFE55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响应文件的签署及规定</w:t>
      </w:r>
    </w:p>
    <w:p w14:paraId="023D8AE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响应文件应按《磋商项目需求》和《响应文件格式》如实编写，未尽事宜可自行补充。响应文件内容不完整、格式不符合导致响应文件被误读、漏读或者查找不到相关内容的，供应商自行承担由此产生的风险。</w:t>
      </w:r>
    </w:p>
    <w:p w14:paraId="0E05988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22.2 供应商按照《磋商邀请函》的要求提交网上应答并分别</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w:t>
      </w:r>
      <w:r>
        <w:rPr>
          <w:rFonts w:hint="eastAsia"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14:paraId="07B9552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响应文件因模糊不清或表达不清所引起的后果由供应商自负。</w:t>
      </w:r>
    </w:p>
    <w:p w14:paraId="6C03948C">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14:paraId="6066BC96">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响应文件的网上应答和提交</w:t>
      </w:r>
    </w:p>
    <w:p w14:paraId="605DBEE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供应商须按《磋商邀请函》规定提交网上应答并上传加盖供应商电子签章的电子响应文件（以通过天津公共资源电子签章客户端正确读取签章信息为准）。具体方式：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lang w:eastAsia="zh-CN"/>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供应商电子签章的电子响应文件（以通过天津公共资源电子签章客户端正确读取签章信息为准）。如有需要，供应商可于工作时间且在竞争性磋商文件规定的截止时间前到天津市河东区红星路79号天津市政府采购中心窗口完成上述操作。</w:t>
      </w:r>
    </w:p>
    <w:p w14:paraId="077179C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制作和上传电子响应文件要求</w:t>
      </w:r>
    </w:p>
    <w:p w14:paraId="2759F40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24.1 投标人须下载天津市政府采购中心网-下载中心-《天津公共资源电子签章客户端安装包及使用说明》。</w:t>
      </w:r>
    </w:p>
    <w:p w14:paraId="40F297F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35BDA5A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4788718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5877FF9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0E94280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24.3 供应商应保证电子响应文件清晰，便于识别，如因上传、扫描、格式等原因导致评审时受到影响，由供应商自行承担相应责任。</w:t>
      </w:r>
    </w:p>
    <w:p w14:paraId="64CF8F6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14:paraId="09BCF827">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供应商须承诺接受电子投标的方式，并自行承担由此带来的废标、无效投标的风险。</w:t>
      </w:r>
    </w:p>
    <w:p w14:paraId="3188973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未按竞争性磋商文件的规定提交网上应答和上传加盖供应商电子签章的电子响应文件（以通过天津公共资源电子签章客户端正确读取签章信息为准）的投标将被拒绝。</w:t>
      </w:r>
    </w:p>
    <w:p w14:paraId="601D981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6A603092">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磋商程序</w:t>
      </w:r>
    </w:p>
    <w:p w14:paraId="0734542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 </w:t>
      </w:r>
      <w:r>
        <w:rPr>
          <w:rFonts w:hint="eastAsia" w:ascii="Times New Roman" w:hAnsi="Times New Roman" w:eastAsia="宋体" w:cs="Times New Roman"/>
          <w:color w:val="000000" w:themeColor="text1"/>
          <w:highlight w:val="none"/>
          <w14:textFill>
            <w14:solidFill>
              <w14:schemeClr w14:val="tx1"/>
            </w14:solidFill>
          </w14:textFill>
        </w:rPr>
        <w:t>磋商步骤</w:t>
      </w:r>
    </w:p>
    <w:p w14:paraId="7D8DA42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27.1 </w:t>
      </w:r>
      <w:r>
        <w:rPr>
          <w:rFonts w:hint="eastAsia" w:ascii="Times New Roman" w:hAnsi="Times New Roman" w:eastAsia="宋体" w:cs="Times New Roman"/>
          <w:color w:val="000000" w:themeColor="text1"/>
          <w:highlight w:val="none"/>
          <w14:textFill>
            <w14:solidFill>
              <w14:schemeClr w14:val="tx1"/>
            </w14:solidFill>
          </w14:textFill>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3DDF3E4A">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14:paraId="386579B8">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14:paraId="27FB63B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27.2 </w:t>
      </w:r>
      <w:r>
        <w:rPr>
          <w:rFonts w:hint="eastAsia" w:ascii="Times New Roman" w:hAnsi="Times New Roman" w:eastAsia="宋体" w:cs="Times New Roman"/>
          <w:color w:val="000000" w:themeColor="text1"/>
          <w:highlight w:val="none"/>
          <w14:textFill>
            <w14:solidFill>
              <w14:schemeClr w14:val="tx1"/>
            </w14:solidFill>
          </w14:textFill>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22CE4C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14:paraId="3F509D53">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供应商应当按照磋商文件的变动情况和磋商小组的要求重新提交电子响应文件，加盖电子签章</w:t>
      </w:r>
      <w:r>
        <w:rPr>
          <w:rFonts w:hint="eastAsia"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14:paraId="12B0517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14:paraId="11332E8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27.3 </w:t>
      </w:r>
      <w:r>
        <w:rPr>
          <w:rFonts w:hint="eastAsia" w:ascii="Times New Roman" w:hAnsi="Times New Roman" w:eastAsia="宋体" w:cs="Times New Roman"/>
          <w:color w:val="000000" w:themeColor="text1"/>
          <w:highlight w:val="none"/>
          <w14:textFill>
            <w14:solidFill>
              <w14:schemeClr w14:val="tx1"/>
            </w14:solidFill>
          </w14:textFill>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738CF67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27.4 </w:t>
      </w:r>
      <w:r>
        <w:rPr>
          <w:rFonts w:hint="eastAsia" w:ascii="Times New Roman" w:hAnsi="Times New Roman" w:eastAsia="宋体" w:cs="Times New Roman"/>
          <w:color w:val="000000" w:themeColor="text1"/>
          <w:highlight w:val="none"/>
          <w14:textFill>
            <w14:solidFill>
              <w14:schemeClr w14:val="tx1"/>
            </w14:solidFill>
          </w14:textFill>
        </w:rPr>
        <w:t>第四步：经磋商确定最终采购需求和提交最后报价的供应商后，由磋商小组采用综合评分法对提交最后报价的供应商的响应文件和最后报价进行综合评分。</w:t>
      </w:r>
    </w:p>
    <w:p w14:paraId="01D9068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27.5 </w:t>
      </w:r>
      <w:r>
        <w:rPr>
          <w:rFonts w:hint="eastAsia" w:ascii="Times New Roman" w:hAnsi="Times New Roman" w:eastAsia="宋体" w:cs="Times New Roman"/>
          <w:color w:val="000000" w:themeColor="text1"/>
          <w:highlight w:val="none"/>
          <w14:textFill>
            <w14:solidFill>
              <w14:schemeClr w14:val="tx1"/>
            </w14:solidFill>
          </w14:textFill>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DB6EA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27.6 </w:t>
      </w:r>
      <w:r>
        <w:rPr>
          <w:rFonts w:hint="eastAsia" w:ascii="Times New Roman" w:hAnsi="Times New Roman" w:eastAsia="宋体" w:cs="Times New Roman"/>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6632180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）因情况变化，不再符合规定的竞争性磋商采购方式适用情形的；</w:t>
      </w:r>
    </w:p>
    <w:p w14:paraId="2AD0970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）出现影响采购公正的违法、违规行为的；</w:t>
      </w:r>
    </w:p>
    <w:p w14:paraId="1F3F33F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家的。</w:t>
      </w:r>
    </w:p>
    <w:p w14:paraId="56B8B88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27.7 </w:t>
      </w:r>
      <w:r>
        <w:rPr>
          <w:rFonts w:hint="eastAsia"/>
          <w:color w:val="000000" w:themeColor="text1"/>
          <w:highlight w:val="none"/>
          <w14:textFill>
            <w14:solidFill>
              <w14:schemeClr w14:val="tx1"/>
            </w14:solidFill>
          </w14:textFill>
        </w:rPr>
        <w:t>根据《财政部关于政府采购竞争性磋商采购方式管理暂行办法有关问题的补充通知》（财库〔</w:t>
      </w:r>
      <w:r>
        <w:rPr>
          <w:color w:val="000000" w:themeColor="text1"/>
          <w:highlight w:val="none"/>
          <w14:textFill>
            <w14:solidFill>
              <w14:schemeClr w14:val="tx1"/>
            </w14:solidFill>
          </w14:textFill>
        </w:rPr>
        <w:t>2015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124</w:t>
      </w:r>
      <w:r>
        <w:rPr>
          <w:rFonts w:hint="eastAsia"/>
          <w:color w:val="000000" w:themeColor="text1"/>
          <w:highlight w:val="none"/>
          <w14:textFill>
            <w14:solidFill>
              <w14:schemeClr w14:val="tx1"/>
            </w14:solidFill>
          </w14:textFill>
        </w:rPr>
        <w:t>号）的规定，采用竞争性磋商采购方式采购的政府购买服务项目（含政府和社会资本合作项目），在采购过程中符合要求的供应商（社会资本）只有</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家的，竞争性磋商采购活动可以继续进行。采购过程中符合要求的供应商（社会资本）只有</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家的，采购人（项目实施机构）或者采购代理机构应当终止竞争性磋商采购活动，发布项目终止公告并说明原因，重新开展采购活动。</w:t>
      </w:r>
    </w:p>
    <w:p w14:paraId="078C2FA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评审方法及标准</w:t>
      </w:r>
    </w:p>
    <w:p w14:paraId="280C988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14:paraId="0644F0E7">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14:paraId="1DDA90A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14:paraId="64ED36F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对竞争性磋商文件中描述有歧义或前后不一致的地方，磋商小组有权进行评判，但对同一条款的评判应适用于每个供应商。</w:t>
      </w:r>
    </w:p>
    <w:p w14:paraId="7B6317D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28.5 评审方法</w:t>
      </w:r>
    </w:p>
    <w:p w14:paraId="239793F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0913346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0CF3C6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olor w:val="000000" w:themeColor="text1"/>
          <w:highlight w:val="none"/>
          <w14:textFill>
            <w14:solidFill>
              <w14:schemeClr w14:val="tx1"/>
            </w14:solidFill>
          </w14:textFill>
        </w:rPr>
        <w:t>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w:t>
      </w:r>
      <w:r>
        <w:rPr>
          <w:rFonts w:hint="eastAsia" w:ascii="Times New Roman" w:hAnsi="Times New Roman" w:cs="Times New Roman"/>
          <w:color w:val="000000" w:themeColor="text1"/>
          <w:highlight w:val="none"/>
          <w14:textFill>
            <w14:solidFill>
              <w14:schemeClr w14:val="tx1"/>
            </w14:solidFill>
          </w14:textFill>
        </w:rPr>
        <w:t>内的产品实施</w:t>
      </w:r>
      <w:r>
        <w:rPr>
          <w:rFonts w:hint="eastAsia" w:ascii="Times New Roman" w:hAnsi="Times New Roman" w:eastAsia="宋体"/>
          <w:color w:val="000000" w:themeColor="text1"/>
          <w:highlight w:val="none"/>
          <w14:textFill>
            <w14:solidFill>
              <w14:schemeClr w14:val="tx1"/>
            </w14:solidFill>
          </w14:textFill>
        </w:rPr>
        <w:t>优先采购和强制采购的评标方法。</w:t>
      </w:r>
    </w:p>
    <w:p w14:paraId="694DDA9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6AC8C20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（5）成交候选供应商产生办法：按得分由高到低顺序确定成交候选供应商；得分相同的，按投标报价由低到高顺序确定成交候选供应商；得分且投标报价相同的，按技术指标优劣顺序确定成交候选供应商。</w:t>
      </w:r>
    </w:p>
    <w:p w14:paraId="32C77BB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14:paraId="29E16C0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28.6 出现以下任何情形取消磋商资格：</w:t>
      </w:r>
    </w:p>
    <w:p w14:paraId="47FB096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14:paraId="04A3EC9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14:paraId="1FB722BC">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（3）响应文件中提供虚假材料的；</w:t>
      </w:r>
    </w:p>
    <w:p w14:paraId="4FBC58A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（4）不能满足竞争性磋商文件中任何一条实质性要求或加注“★”号条款出现负偏离或经磋商小组认定未实质性响应竞争性磋商文件要求的或响应内容不符合相关强制性规定的；</w:t>
      </w:r>
    </w:p>
    <w:p w14:paraId="07A17D5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14:paraId="5951824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（6）磋商报价超出采购预算的；</w:t>
      </w:r>
    </w:p>
    <w:p w14:paraId="2700200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4AD8BF5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783286C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（9）其他法定响应无效的情形。</w:t>
      </w:r>
    </w:p>
    <w:p w14:paraId="4568CC3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其他注意事项</w:t>
      </w:r>
    </w:p>
    <w:p w14:paraId="606F510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在磋商期间，供应商不得向磋商小组成员或采购代理机构询问评审情况、施加任何影响，不得进行旨在影响评审结果的活动。</w:t>
      </w:r>
    </w:p>
    <w:p w14:paraId="2984DE8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供应商私下交换意见。在评审期间及磋商工作结束后，凡与评审情况有接触的任何人不得透露审查、澄清、评价和比较等投标的有关资料以及授标建议等评审情况。</w:t>
      </w:r>
    </w:p>
    <w:p w14:paraId="6959981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14:paraId="2D2D7DC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如果几个供应商所投整包产品为同一品牌时，在服务承诺符合竞争性磋商文件的情况下，报价最低的供应商入围评审阶段。</w:t>
      </w:r>
    </w:p>
    <w:p w14:paraId="453F350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4E313EF">
      <w:pPr>
        <w:pStyle w:val="29"/>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14:paraId="368073F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成交供应商的产生</w:t>
      </w:r>
    </w:p>
    <w:p w14:paraId="78EEABA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14:paraId="773BA0A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30.2 采购人也可以按照《中华人民共和国政府采购法》及其实施条例等法律法规的规定和竞争性磋商文件的要求确认成交供应商。</w:t>
      </w:r>
    </w:p>
    <w:p w14:paraId="458ED3B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成交通知</w:t>
      </w:r>
    </w:p>
    <w:p w14:paraId="135C5A5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lang w:eastAsia="zh-CN"/>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天津市政府采购中心网（网址：http://tjgpc.zwfwb.tj.gov.cn）-”网上招投标”-“供应商登录”-“市级集采机构入口”，并从“供应商系统”的“查看项目文件”中获取）。《成交通知书》一经发出即发生法律效力。</w:t>
      </w:r>
    </w:p>
    <w:p w14:paraId="5901723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lang w:eastAsia="zh-CN"/>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2786DEC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签订合同</w:t>
      </w:r>
    </w:p>
    <w:p w14:paraId="7C1D405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lang w:eastAsia="zh-CN"/>
          <w14:textFill>
            <w14:solidFill>
              <w14:schemeClr w14:val="tx1"/>
            </w14:solidFill>
          </w14:textFill>
        </w:rPr>
        <w:t>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天津市政府采购中心网（网址：http://tjgpc.zwfwb.tj.gov.cn）-”网上招投标”-“供应商登录”-“市级集采机构入口”，并从“供应商系统”的“合同”中获取。</w:t>
      </w:r>
    </w:p>
    <w:p w14:paraId="093B72A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14:paraId="48AB1B8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履约保证金</w:t>
      </w:r>
    </w:p>
    <w:p w14:paraId="674D061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若《磋商项目需求》规定须提交履约保证金的，成交供应商须按照规定要求提交履约保证金。</w:t>
      </w:r>
    </w:p>
    <w:p w14:paraId="10EF11E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14:paraId="3E8E55D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14:paraId="7580A05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合同分包</w:t>
      </w:r>
    </w:p>
    <w:p w14:paraId="6293945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14:paraId="52AE1DE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14:paraId="7CBCFF8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79A3C01F">
      <w:pPr>
        <w:pStyle w:val="29"/>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67B7B923">
      <w:pPr>
        <w:pStyle w:val="29"/>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14:paraId="3404273D">
      <w:pPr>
        <w:pStyle w:val="14"/>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8"/>
    </w:p>
    <w:p w14:paraId="1E622315">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35E8A0E4">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38711083">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64934894">
      <w:pPr>
        <w:pStyle w:val="6"/>
        <w:spacing w:after="0"/>
        <w:jc w:val="center"/>
        <w:rPr>
          <w:b/>
          <w:bCs/>
          <w:color w:val="000000" w:themeColor="text1"/>
          <w:spacing w:val="-20"/>
          <w:kern w:val="44"/>
          <w:sz w:val="48"/>
          <w:szCs w:val="48"/>
          <w:highlight w:val="none"/>
          <w14:textFill>
            <w14:solidFill>
              <w14:schemeClr w14:val="tx1"/>
            </w14:solidFill>
          </w14:textFill>
        </w:rPr>
      </w:pPr>
      <w:r>
        <w:rPr>
          <w:b/>
          <w:bCs/>
          <w:color w:val="000000" w:themeColor="text1"/>
          <w:spacing w:val="-20"/>
          <w:kern w:val="44"/>
          <w:sz w:val="48"/>
          <w:szCs w:val="48"/>
          <w:highlight w:val="none"/>
          <w14:textFill>
            <w14:solidFill>
              <w14:schemeClr w14:val="tx1"/>
            </w14:solidFill>
          </w14:textFill>
        </w:rPr>
        <w:t>政府采购货物买卖合同</w:t>
      </w:r>
    </w:p>
    <w:p w14:paraId="0154518D">
      <w:pPr>
        <w:rPr>
          <w:b/>
          <w:bCs/>
          <w:color w:val="000000" w:themeColor="text1"/>
          <w:spacing w:val="-20"/>
          <w:kern w:val="44"/>
          <w:sz w:val="40"/>
          <w:szCs w:val="40"/>
          <w:highlight w:val="none"/>
          <w14:textFill>
            <w14:solidFill>
              <w14:schemeClr w14:val="tx1"/>
            </w14:solidFill>
          </w14:textFill>
        </w:rPr>
      </w:pPr>
    </w:p>
    <w:p w14:paraId="1AC94466">
      <w:pPr>
        <w:rPr>
          <w:b/>
          <w:bCs/>
          <w:color w:val="000000" w:themeColor="text1"/>
          <w:spacing w:val="-20"/>
          <w:kern w:val="44"/>
          <w:sz w:val="40"/>
          <w:szCs w:val="40"/>
          <w:highlight w:val="none"/>
          <w14:textFill>
            <w14:solidFill>
              <w14:schemeClr w14:val="tx1"/>
            </w14:solidFill>
          </w14:textFill>
        </w:rPr>
      </w:pPr>
    </w:p>
    <w:p w14:paraId="3651BD0C">
      <w:pPr>
        <w:rPr>
          <w:b/>
          <w:bCs/>
          <w:color w:val="000000" w:themeColor="text1"/>
          <w:spacing w:val="-20"/>
          <w:kern w:val="44"/>
          <w:sz w:val="40"/>
          <w:szCs w:val="40"/>
          <w:highlight w:val="none"/>
          <w14:textFill>
            <w14:solidFill>
              <w14:schemeClr w14:val="tx1"/>
            </w14:solidFill>
          </w14:textFill>
        </w:rPr>
      </w:pPr>
    </w:p>
    <w:p w14:paraId="78CE38FB">
      <w:pPr>
        <w:spacing w:line="360" w:lineRule="auto"/>
        <w:ind w:left="420" w:leftChars="200"/>
        <w:rPr>
          <w:color w:val="000000" w:themeColor="text1"/>
          <w:sz w:val="32"/>
          <w:szCs w:val="32"/>
          <w:highlight w:val="none"/>
          <w14:textFill>
            <w14:solidFill>
              <w14:schemeClr w14:val="tx1"/>
            </w14:solidFill>
          </w14:textFill>
        </w:rPr>
      </w:pPr>
      <w:r>
        <w:rPr>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1A6CDF96">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5DCA2E45">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甲    方：</w:t>
      </w:r>
      <w:r>
        <w:rPr>
          <w:color w:val="000000" w:themeColor="text1"/>
          <w:sz w:val="32"/>
          <w:szCs w:val="32"/>
          <w:highlight w:val="none"/>
          <w:u w:val="single"/>
          <w14:textFill>
            <w14:solidFill>
              <w14:schemeClr w14:val="tx1"/>
            </w14:solidFill>
          </w14:textFill>
        </w:rPr>
        <w:t xml:space="preserve">                             </w:t>
      </w:r>
    </w:p>
    <w:p w14:paraId="305DF06C">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乙    方：</w:t>
      </w:r>
      <w:r>
        <w:rPr>
          <w:color w:val="000000" w:themeColor="text1"/>
          <w:sz w:val="32"/>
          <w:szCs w:val="32"/>
          <w:highlight w:val="none"/>
          <w:u w:val="single"/>
          <w14:textFill>
            <w14:solidFill>
              <w14:schemeClr w14:val="tx1"/>
            </w14:solidFill>
          </w14:textFill>
        </w:rPr>
        <w:t xml:space="preserve">                             </w:t>
      </w:r>
    </w:p>
    <w:p w14:paraId="1EDD3388">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签订时间：</w:t>
      </w:r>
      <w:r>
        <w:rPr>
          <w:color w:val="000000" w:themeColor="text1"/>
          <w:sz w:val="32"/>
          <w:szCs w:val="32"/>
          <w:highlight w:val="none"/>
          <w:u w:val="single"/>
          <w14:textFill>
            <w14:solidFill>
              <w14:schemeClr w14:val="tx1"/>
            </w14:solidFill>
          </w14:textFill>
        </w:rPr>
        <w:t xml:space="preserve">                             </w:t>
      </w:r>
    </w:p>
    <w:p w14:paraId="270EA925">
      <w:pPr>
        <w:rPr>
          <w:color w:val="000000" w:themeColor="text1"/>
          <w:szCs w:val="24"/>
          <w:highlight w:val="none"/>
          <w14:textFill>
            <w14:solidFill>
              <w14:schemeClr w14:val="tx1"/>
            </w14:solidFill>
          </w14:textFill>
        </w:rPr>
      </w:pPr>
    </w:p>
    <w:p w14:paraId="787BC7E1">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3FB001F8">
      <w:pPr>
        <w:rPr>
          <w:rFonts w:eastAsia="黑体"/>
          <w:color w:val="000000" w:themeColor="text1"/>
          <w:sz w:val="44"/>
          <w:szCs w:val="44"/>
          <w:highlight w:val="none"/>
          <w14:textFill>
            <w14:solidFill>
              <w14:schemeClr w14:val="tx1"/>
            </w14:solidFill>
          </w14:textFill>
        </w:rPr>
      </w:pPr>
    </w:p>
    <w:p w14:paraId="5E484B0D">
      <w:pPr>
        <w:rPr>
          <w:rFonts w:eastAsia="黑体"/>
          <w:color w:val="000000" w:themeColor="text1"/>
          <w:sz w:val="44"/>
          <w:szCs w:val="44"/>
          <w:highlight w:val="none"/>
          <w14:textFill>
            <w14:solidFill>
              <w14:schemeClr w14:val="tx1"/>
            </w14:solidFill>
          </w14:textFill>
        </w:rPr>
      </w:pPr>
    </w:p>
    <w:p w14:paraId="16742843">
      <w:pPr>
        <w:jc w:val="cente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使 用 说 明</w:t>
      </w:r>
    </w:p>
    <w:p w14:paraId="01395375">
      <w:pPr>
        <w:ind w:firstLine="640" w:firstLineChars="200"/>
        <w:rPr>
          <w:rFonts w:eastAsia="仿宋_GB2312"/>
          <w:color w:val="000000" w:themeColor="text1"/>
          <w:sz w:val="32"/>
          <w:szCs w:val="32"/>
          <w:highlight w:val="none"/>
          <w14:textFill>
            <w14:solidFill>
              <w14:schemeClr w14:val="tx1"/>
            </w14:solidFill>
          </w14:textFill>
        </w:rPr>
      </w:pPr>
    </w:p>
    <w:p w14:paraId="0F435D10">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2655F313">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4A5AF116">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2AE5627E">
      <w:pPr>
        <w:widowControl/>
        <w:jc w:val="left"/>
        <w:rPr>
          <w:rFonts w:eastAsia="黑体"/>
          <w:color w:val="000000" w:themeColor="text1"/>
          <w:sz w:val="44"/>
          <w:szCs w:val="4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BA122B9">
      <w:pPr>
        <w:pStyle w:val="2"/>
        <w:adjustRightInd w:val="0"/>
        <w:snapToGrid w:val="0"/>
        <w:spacing w:line="40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9" w:name="_Toc22209"/>
    </w:p>
    <w:p w14:paraId="5FBDCCD3">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第一节 政府采购合同协议书</w:t>
      </w:r>
      <w:bookmarkEnd w:id="9"/>
    </w:p>
    <w:p w14:paraId="0F67AEA5">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p>
    <w:p w14:paraId="17A3AA50">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（采购人、受采购人委托签订合同的单位或采购</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 xml:space="preserve">                                   文件约定的合同甲方）</w:t>
      </w:r>
    </w:p>
    <w:p w14:paraId="7CC985A4">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乙方1（全称）：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w:t>
      </w:r>
    </w:p>
    <w:p w14:paraId="5A18E8D3">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乙方2（全称）：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08A8D76C">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乙方3（全称）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505D0BDF">
      <w:pPr>
        <w:spacing w:line="400" w:lineRule="exact"/>
        <w:rPr>
          <w:color w:val="000000" w:themeColor="text1"/>
          <w:sz w:val="24"/>
          <w:szCs w:val="24"/>
          <w:highlight w:val="none"/>
          <w14:textFill>
            <w14:solidFill>
              <w14:schemeClr w14:val="tx1"/>
            </w14:solidFill>
          </w14:textFill>
        </w:rPr>
      </w:pPr>
    </w:p>
    <w:p w14:paraId="1C9D4859">
      <w:pPr>
        <w:pStyle w:val="7"/>
        <w:adjustRightInd w:val="0"/>
        <w:snapToGrid w:val="0"/>
        <w:spacing w:after="0" w:line="400" w:lineRule="exact"/>
        <w:ind w:left="0" w:leftChars="0"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8ED4C1B">
      <w:pPr>
        <w:numPr>
          <w:ilvl w:val="0"/>
          <w:numId w:val="1"/>
        </w:num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项目信息</w:t>
      </w:r>
    </w:p>
    <w:p w14:paraId="228D967B">
      <w:pPr>
        <w:pStyle w:val="7"/>
        <w:numPr>
          <w:ilvl w:val="0"/>
          <w:numId w:val="2"/>
        </w:numPr>
        <w:adjustRightInd w:val="0"/>
        <w:snapToGrid w:val="0"/>
        <w:spacing w:after="0" w:line="360" w:lineRule="auto"/>
        <w:ind w:leftChars="0" w:firstLine="480" w:firstLineChars="2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采购项目名称：</w:t>
      </w:r>
      <w:r>
        <w:rPr>
          <w:color w:val="000000" w:themeColor="text1"/>
          <w:sz w:val="24"/>
          <w:szCs w:val="24"/>
          <w:highlight w:val="none"/>
          <w:u w:val="single"/>
          <w14:textFill>
            <w14:solidFill>
              <w14:schemeClr w14:val="tx1"/>
            </w14:solidFill>
          </w14:textFill>
        </w:rPr>
        <w:t xml:space="preserve">                                          </w:t>
      </w:r>
    </w:p>
    <w:p w14:paraId="2CD2AB07">
      <w:pPr>
        <w:pStyle w:val="7"/>
        <w:tabs>
          <w:tab w:val="left" w:pos="999"/>
        </w:tabs>
        <w:adjustRightInd w:val="0"/>
        <w:snapToGrid w:val="0"/>
        <w:spacing w:after="0" w:line="360" w:lineRule="auto"/>
        <w:ind w:left="0" w:left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采购项目编号：</w:t>
      </w:r>
      <w:r>
        <w:rPr>
          <w:color w:val="000000" w:themeColor="text1"/>
          <w:sz w:val="24"/>
          <w:szCs w:val="24"/>
          <w:highlight w:val="none"/>
          <w:u w:val="single"/>
          <w14:textFill>
            <w14:solidFill>
              <w14:schemeClr w14:val="tx1"/>
            </w14:solidFill>
          </w14:textFill>
        </w:rPr>
        <w:t xml:space="preserve">                                          </w:t>
      </w:r>
    </w:p>
    <w:p w14:paraId="28F7E3D1">
      <w:pPr>
        <w:pStyle w:val="7"/>
        <w:adjustRightInd w:val="0"/>
        <w:snapToGrid w:val="0"/>
        <w:spacing w:after="0" w:line="360" w:lineRule="auto"/>
        <w:ind w:left="0" w:leftChars="0"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（2）采购计划编号：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48EB8C36">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（3）项目内容：</w:t>
      </w:r>
    </w:p>
    <w:p w14:paraId="0F6ED1CE">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采购标的及数量（台/套</w:t>
      </w:r>
      <w:r>
        <w:rPr>
          <w:color w:val="000000" w:themeColor="text1"/>
          <w:sz w:val="24"/>
          <w:szCs w:val="24"/>
          <w:highlight w:val="none"/>
          <w:lang w:val="en"/>
          <w14:textFill>
            <w14:solidFill>
              <w14:schemeClr w14:val="tx1"/>
            </w14:solidFill>
          </w14:textFill>
        </w:rPr>
        <w:t>/个/架/组等</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29738BAD">
      <w:pPr>
        <w:adjustRightInd w:val="0"/>
        <w:snapToGrid w:val="0"/>
        <w:spacing w:line="360" w:lineRule="auto"/>
        <w:ind w:firstLine="480" w:firstLineChars="200"/>
        <w:rPr>
          <w:color w:val="000000" w:themeColor="text1"/>
          <w:sz w:val="24"/>
          <w:szCs w:val="24"/>
          <w:highlight w:val="none"/>
          <w:lang w:val="en"/>
          <w14:textFill>
            <w14:solidFill>
              <w14:schemeClr w14:val="tx1"/>
            </w14:solidFill>
          </w14:textFill>
        </w:rPr>
      </w:pP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 xml:space="preserve">     </w:t>
      </w:r>
      <w:r>
        <w:rPr>
          <w:color w:val="000000" w:themeColor="text1"/>
          <w:sz w:val="24"/>
          <w:szCs w:val="24"/>
          <w:highlight w:val="none"/>
          <w14:textFill>
            <w14:solidFill>
              <w14:schemeClr w14:val="tx1"/>
            </w14:solidFill>
          </w14:textFill>
        </w:rPr>
        <w:t>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p>
    <w:p w14:paraId="50C23C65">
      <w:pPr>
        <w:adjustRightInd w:val="0"/>
        <w:snapToGrid w:val="0"/>
        <w:spacing w:line="360" w:lineRule="auto"/>
        <w:ind w:firstLine="1080" w:firstLineChars="45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采购标的的技术要求、商务要求具体见附件。</w:t>
      </w:r>
    </w:p>
    <w:p w14:paraId="4693D2A5">
      <w:pPr>
        <w:adjustRightInd w:val="0"/>
        <w:snapToGrid w:val="0"/>
        <w:spacing w:line="360" w:lineRule="auto"/>
        <w:ind w:firstLine="1080" w:firstLineChars="450"/>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color w:val="000000" w:themeColor="text1"/>
          <w:sz w:val="24"/>
          <w:szCs w:val="24"/>
          <w:highlight w:val="none"/>
          <w14:textFill>
            <w14:solidFill>
              <w14:schemeClr w14:val="tx1"/>
            </w14:solidFill>
          </w14:textFill>
        </w:rPr>
        <w:t>涉及信息类产品，请填写该产品关键部件的品牌、型号：</w:t>
      </w:r>
    </w:p>
    <w:p w14:paraId="3004E99F">
      <w:pPr>
        <w:adjustRightInd w:val="0"/>
        <w:snapToGrid w:val="0"/>
        <w:spacing w:line="360" w:lineRule="auto"/>
        <w:ind w:firstLine="480" w:firstLineChars="200"/>
        <w:rPr>
          <w:color w:val="000000" w:themeColor="text1"/>
          <w:kern w:val="0"/>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标的名称：</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lang w:val="en"/>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p>
    <w:p w14:paraId="47833EE5">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关键部件：</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1110B1A2">
      <w:pPr>
        <w:pStyle w:val="77"/>
        <w:snapToGrid w:val="0"/>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关键部件</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p>
    <w:p w14:paraId="487B508B">
      <w:pPr>
        <w:pStyle w:val="77"/>
        <w:snapToGrid w:val="0"/>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关键部件：</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3DCDC348">
      <w:pPr>
        <w:pStyle w:val="77"/>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19C97262">
      <w:pPr>
        <w:pStyle w:val="77"/>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②</w:t>
      </w:r>
      <w:r>
        <w:rPr>
          <w:rFonts w:ascii="Times New Roman" w:hAnsi="Times New Roman" w:eastAsia="宋体" w:cs="Times New Roman"/>
          <w:color w:val="000000" w:themeColor="text1"/>
          <w:sz w:val="24"/>
          <w:szCs w:val="24"/>
          <w:highlight w:val="none"/>
          <w14:textFill>
            <w14:solidFill>
              <w14:schemeClr w14:val="tx1"/>
            </w14:solidFill>
          </w14:textFill>
        </w:rPr>
        <w:t>涉及车辆采购，请填写是否属于新能源汽车：</w:t>
      </w:r>
    </w:p>
    <w:p w14:paraId="6035C92E">
      <w:pPr>
        <w:pStyle w:val="77"/>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是，《政府采购品目分类目录》底级品目名称：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数量：</w:t>
      </w:r>
      <w:r>
        <w:rPr>
          <w:rFonts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金额：</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否</w:t>
      </w:r>
    </w:p>
    <w:p w14:paraId="0A73D0AA">
      <w:pPr>
        <w:pStyle w:val="77"/>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4</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）政府采购组织形式：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政府集中采购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部门集中采购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分散采购</w:t>
      </w:r>
    </w:p>
    <w:p w14:paraId="1818D344">
      <w:pPr>
        <w:pStyle w:val="77"/>
        <w:snapToGrid w:val="0"/>
        <w:spacing w:line="360" w:lineRule="auto"/>
        <w:ind w:firstLine="42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5</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）政府采购方式：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公开招标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邀请招标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竞争性谈判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竞争性磋商</w:t>
      </w:r>
    </w:p>
    <w:p w14:paraId="0B6D9273">
      <w:pPr>
        <w:pStyle w:val="77"/>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询价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单一来源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框架协议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其他：</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059808D8">
      <w:pPr>
        <w:pStyle w:val="77"/>
        <w:snapToGrid w:val="0"/>
        <w:spacing w:line="360" w:lineRule="auto"/>
        <w:ind w:firstLine="42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（注：在框架协议采购的第二阶段，可选择使用该合同文本）</w:t>
      </w:r>
    </w:p>
    <w:p w14:paraId="3497E963">
      <w:pPr>
        <w:pStyle w:val="77"/>
        <w:snapToGrid w:val="0"/>
        <w:spacing w:line="360" w:lineRule="auto"/>
        <w:ind w:firstLine="240" w:firstLineChars="10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en"/>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kern w:val="2"/>
          <w:sz w:val="24"/>
          <w:szCs w:val="24"/>
          <w:highlight w:val="none"/>
          <w14:textFill>
            <w14:solidFill>
              <w14:schemeClr w14:val="tx1"/>
            </w14:solidFill>
          </w14:textFill>
        </w:rPr>
        <w:t>中标（成交）采购标的制造商是否为中小企业：</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42E1472B">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本合同是否为专门面向中小企业的采购合同（中小企业预留合同）：</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57740C0B">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若本项目不专门面向中小企业采购，是否给予小微企业评审优惠：</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19FEF085">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中标（成交）采购标的制造商是否为残疾人福利性单位：</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645DCEB8">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中标（成交）采购标的制造商是否为监狱企业：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7DD04FB8">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7</w:t>
      </w:r>
      <w:r>
        <w:rPr>
          <w:color w:val="000000" w:themeColor="text1"/>
          <w:sz w:val="24"/>
          <w:szCs w:val="24"/>
          <w:highlight w:val="none"/>
          <w14:textFill>
            <w14:solidFill>
              <w14:schemeClr w14:val="tx1"/>
            </w14:solidFill>
          </w14:textFill>
        </w:rPr>
        <w:t>）合同是否分包：</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3B8F2EBE">
      <w:pPr>
        <w:adjustRightInd w:val="0"/>
        <w:snapToGrid w:val="0"/>
        <w:spacing w:line="360" w:lineRule="auto"/>
        <w:ind w:firstLine="960"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分包主要内容：</w:t>
      </w:r>
      <w:r>
        <w:rPr>
          <w:color w:val="000000" w:themeColor="text1"/>
          <w:sz w:val="24"/>
          <w:szCs w:val="24"/>
          <w:highlight w:val="none"/>
          <w:u w:val="single"/>
          <w14:textFill>
            <w14:solidFill>
              <w14:schemeClr w14:val="tx1"/>
            </w14:solidFill>
          </w14:textFill>
        </w:rPr>
        <w:t xml:space="preserve">                                            </w:t>
      </w:r>
    </w:p>
    <w:p w14:paraId="7F01143F">
      <w:pPr>
        <w:adjustRightInd w:val="0"/>
        <w:snapToGrid w:val="0"/>
        <w:spacing w:line="360" w:lineRule="auto"/>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分包供应商/制造商名称（如供应商和制造商不同，请分别填写）：</w:t>
      </w:r>
    </w:p>
    <w:p w14:paraId="6772C44C">
      <w:pPr>
        <w:adjustRightInd w:val="0"/>
        <w:snapToGrid w:val="0"/>
        <w:spacing w:line="360" w:lineRule="auto"/>
        <w:ind w:firstLine="960"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14:paraId="38E18AED">
      <w:pPr>
        <w:adjustRightInd w:val="0"/>
        <w:snapToGrid w:val="0"/>
        <w:spacing w:line="360" w:lineRule="auto"/>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分包供应商/制造商类型（如果供应商和制造商不同，只填写制造商类型）：</w:t>
      </w:r>
    </w:p>
    <w:p w14:paraId="3F9B6E7B">
      <w:pPr>
        <w:adjustRightInd w:val="0"/>
        <w:snapToGrid w:val="0"/>
        <w:spacing w:line="360" w:lineRule="auto"/>
        <w:ind w:firstLine="960" w:firstLineChars="400"/>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大型企业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中型企业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小微型企业  </w:t>
      </w:r>
    </w:p>
    <w:p w14:paraId="48EA29FE">
      <w:pPr>
        <w:adjustRightInd w:val="0"/>
        <w:snapToGrid w:val="0"/>
        <w:spacing w:line="360" w:lineRule="auto"/>
        <w:ind w:firstLine="960" w:firstLineChars="400"/>
        <w:rPr>
          <w:rFonts w:eastAsia="华文楷体"/>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残疾人福利性单位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监狱企业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p>
    <w:p w14:paraId="5A59CFC9">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8</w:t>
      </w:r>
      <w:r>
        <w:rPr>
          <w:color w:val="000000" w:themeColor="text1"/>
          <w:sz w:val="24"/>
          <w:szCs w:val="24"/>
          <w:highlight w:val="none"/>
          <w14:textFill>
            <w14:solidFill>
              <w14:schemeClr w14:val="tx1"/>
            </w14:solidFill>
          </w14:textFill>
        </w:rPr>
        <w:t>）中标（成交）供应商是否为外商投资企业：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42853C0B">
      <w:pPr>
        <w:pStyle w:val="77"/>
        <w:tabs>
          <w:tab w:val="left" w:pos="1340"/>
        </w:tabs>
        <w:snapToGrid w:val="0"/>
        <w:spacing w:line="360" w:lineRule="auto"/>
        <w:ind w:firstLine="48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外商投资企业类型：</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sz w:val="24"/>
          <w:szCs w:val="24"/>
          <w:highlight w:val="none"/>
          <w14:textFill>
            <w14:solidFill>
              <w14:schemeClr w14:val="tx1"/>
            </w14:solidFill>
          </w14:textFill>
        </w:rPr>
        <w:t xml:space="preserve">全部由外国投资者投资  </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iCs/>
          <w:color w:val="000000" w:themeColor="text1"/>
          <w:sz w:val="24"/>
          <w:szCs w:val="24"/>
          <w:highlight w:val="none"/>
          <w14:textFill>
            <w14:solidFill>
              <w14:schemeClr w14:val="tx1"/>
            </w14:solidFill>
          </w14:textFill>
        </w:rPr>
        <w:t>部分由外国投资者投资</w:t>
      </w:r>
    </w:p>
    <w:p w14:paraId="0C5D4CAA">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9</w:t>
      </w:r>
      <w:r>
        <w:rPr>
          <w:color w:val="000000" w:themeColor="text1"/>
          <w:sz w:val="24"/>
          <w:szCs w:val="24"/>
          <w:highlight w:val="none"/>
          <w14:textFill>
            <w14:solidFill>
              <w14:schemeClr w14:val="tx1"/>
            </w14:solidFill>
          </w14:textFill>
        </w:rPr>
        <w:t>）是否涉及进口产品：</w:t>
      </w:r>
    </w:p>
    <w:p w14:paraId="7252C0FD">
      <w:pPr>
        <w:adjustRightInd w:val="0"/>
        <w:snapToGrid w:val="0"/>
        <w:spacing w:line="360" w:lineRule="auto"/>
        <w:ind w:firstLine="960"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是，《政府采购品目分类目录》底级品目名称：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金额：</w:t>
      </w:r>
      <w:r>
        <w:rPr>
          <w:color w:val="000000" w:themeColor="text1"/>
          <w:sz w:val="24"/>
          <w:szCs w:val="24"/>
          <w:highlight w:val="none"/>
          <w:u w:val="single"/>
          <w14:textFill>
            <w14:solidFill>
              <w14:schemeClr w14:val="tx1"/>
            </w14:solidFill>
          </w14:textFill>
        </w:rPr>
        <w:t xml:space="preserve">        </w:t>
      </w:r>
    </w:p>
    <w:p w14:paraId="6BC2A2B1">
      <w:pPr>
        <w:adjustRightInd w:val="0"/>
        <w:snapToGrid w:val="0"/>
        <w:spacing w:line="360" w:lineRule="auto"/>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国别：</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24E85903">
      <w:pPr>
        <w:adjustRightInd w:val="0"/>
        <w:snapToGrid w:val="0"/>
        <w:spacing w:line="360" w:lineRule="auto"/>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00AB938C">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0</w:t>
      </w:r>
      <w:r>
        <w:rPr>
          <w:color w:val="000000" w:themeColor="text1"/>
          <w:sz w:val="24"/>
          <w:szCs w:val="24"/>
          <w:highlight w:val="none"/>
          <w14:textFill>
            <w14:solidFill>
              <w14:schemeClr w14:val="tx1"/>
            </w14:solidFill>
          </w14:textFill>
        </w:rPr>
        <w:t>）是否涉及节能产品：</w:t>
      </w:r>
    </w:p>
    <w:p w14:paraId="514811F6">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是，《节能产品政府采购品目清单》的底级品目名称：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54E5FBBC">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15F739C9">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4870895E">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是否涉及环境标志产品：</w:t>
      </w:r>
    </w:p>
    <w:p w14:paraId="2052C194">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是，《环境标志产品政府采购品目清单》的底级品目名称：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21D909DB">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1E5BEE27">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47CC0E9B">
      <w:pPr>
        <w:pStyle w:val="77"/>
        <w:snapToGrid w:val="0"/>
        <w:spacing w:line="360" w:lineRule="auto"/>
        <w:ind w:firstLine="0" w:firstLineChars="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是否涉及绿色产品： </w:t>
      </w:r>
    </w:p>
    <w:p w14:paraId="7A59323D">
      <w:pPr>
        <w:pStyle w:val="77"/>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是，绿色产品政府采购相关政策确定的底级品目名称：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4AE93782">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70035F0C">
      <w:pPr>
        <w:pStyle w:val="77"/>
        <w:snapToGrid w:val="0"/>
        <w:spacing w:line="360" w:lineRule="auto"/>
        <w:ind w:firstLine="42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4C6253FB">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1</w:t>
      </w:r>
      <w:r>
        <w:rPr>
          <w:color w:val="000000" w:themeColor="text1"/>
          <w:sz w:val="24"/>
          <w:szCs w:val="24"/>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733CB180">
      <w:pPr>
        <w:adjustRightInd w:val="0"/>
        <w:snapToGrid w:val="0"/>
        <w:spacing w:line="360" w:lineRule="auto"/>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否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不涉及</w:t>
      </w:r>
    </w:p>
    <w:p w14:paraId="7A727C39">
      <w:pPr>
        <w:numPr>
          <w:ilvl w:val="0"/>
          <w:numId w:val="1"/>
        </w:num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合同金额</w:t>
      </w:r>
    </w:p>
    <w:p w14:paraId="1514994F">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（1）合同金额小写：</w:t>
      </w:r>
      <w:r>
        <w:rPr>
          <w:color w:val="000000" w:themeColor="text1"/>
          <w:sz w:val="24"/>
          <w:szCs w:val="24"/>
          <w:highlight w:val="none"/>
          <w:u w:val="single"/>
          <w14:textFill>
            <w14:solidFill>
              <w14:schemeClr w14:val="tx1"/>
            </w14:solidFill>
          </w14:textFill>
        </w:rPr>
        <w:t xml:space="preserve">                           </w:t>
      </w:r>
    </w:p>
    <w:p w14:paraId="524A3641">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04102B31">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分包金额（如有）小写：</w:t>
      </w:r>
      <w:r>
        <w:rPr>
          <w:color w:val="000000" w:themeColor="text1"/>
          <w:sz w:val="24"/>
          <w:szCs w:val="24"/>
          <w:highlight w:val="none"/>
          <w:u w:val="single"/>
          <w14:textFill>
            <w14:solidFill>
              <w14:schemeClr w14:val="tx1"/>
            </w14:solidFill>
          </w14:textFill>
        </w:rPr>
        <w:t xml:space="preserve">                   </w:t>
      </w:r>
    </w:p>
    <w:p w14:paraId="7B55A687">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1FE27DEF">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（注：固定单价合同应填写单价和最高限价）</w:t>
      </w:r>
    </w:p>
    <w:p w14:paraId="4F05FB16">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（2）合同定价方式（采用组合定价方式的，可以勾选多项）：</w:t>
      </w:r>
    </w:p>
    <w:p w14:paraId="337E5CDA">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固定总价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固定单价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固定费率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成本补偿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绩效激励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r>
        <w:rPr>
          <w:color w:val="000000" w:themeColor="text1"/>
          <w:sz w:val="24"/>
          <w:szCs w:val="24"/>
          <w:highlight w:val="none"/>
          <w:u w:val="single"/>
          <w14:textFill>
            <w14:solidFill>
              <w14:schemeClr w14:val="tx1"/>
            </w14:solidFill>
          </w14:textFill>
        </w:rPr>
        <w:t xml:space="preserve">       </w:t>
      </w:r>
    </w:p>
    <w:p w14:paraId="11BCD337">
      <w:pPr>
        <w:pStyle w:val="30"/>
        <w:adjustRightInd w:val="0"/>
        <w:snapToGrid w:val="0"/>
        <w:spacing w:line="360" w:lineRule="auto"/>
        <w:ind w:firstLine="48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（3）付款方式（按项目实际勾选填写）：</w:t>
      </w:r>
    </w:p>
    <w:p w14:paraId="13FFAB6B">
      <w:pPr>
        <w:adjustRightInd w:val="0"/>
        <w:snapToGrid w:val="0"/>
        <w:spacing w:line="360" w:lineRule="auto"/>
        <w:ind w:firstLine="720"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全额付款：</w:t>
      </w:r>
      <w:r>
        <w:rPr>
          <w:color w:val="000000" w:themeColor="text1"/>
          <w:sz w:val="24"/>
          <w:szCs w:val="24"/>
          <w:highlight w:val="none"/>
          <w:u w:val="single"/>
          <w14:textFill>
            <w14:solidFill>
              <w14:schemeClr w14:val="tx1"/>
            </w14:solidFill>
          </w14:textFill>
        </w:rPr>
        <w:t xml:space="preserve">     （应明确一次性支付合同款项的条件）                    </w:t>
      </w:r>
    </w:p>
    <w:p w14:paraId="525FD175">
      <w:pPr>
        <w:adjustRightInd w:val="0"/>
        <w:snapToGrid w:val="0"/>
        <w:spacing w:line="360" w:lineRule="auto"/>
        <w:ind w:firstLine="720"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分期付款：</w:t>
      </w:r>
      <w:r>
        <w:rPr>
          <w:color w:val="000000" w:themeColor="text1"/>
          <w:sz w:val="24"/>
          <w:szCs w:val="24"/>
          <w:highlight w:val="none"/>
          <w:u w:val="single"/>
          <w14:textFill>
            <w14:solidFill>
              <w14:schemeClr w14:val="tx1"/>
            </w14:solidFill>
          </w14:textFill>
        </w:rPr>
        <w:t xml:space="preserve">  （应明确分期支付合同款项的各期比例和支付条件，各期支付条件应与分期履约验收情况挂钩） </w:t>
      </w:r>
      <w:r>
        <w:rPr>
          <w:color w:val="000000" w:themeColor="text1"/>
          <w:sz w:val="24"/>
          <w:szCs w:val="24"/>
          <w:highlight w:val="none"/>
          <w14:textFill>
            <w14:solidFill>
              <w14:schemeClr w14:val="tx1"/>
            </w14:solidFill>
          </w14:textFill>
        </w:rPr>
        <w:t>，其中涉及预付款的：</w:t>
      </w:r>
      <w:r>
        <w:rPr>
          <w:color w:val="000000" w:themeColor="text1"/>
          <w:sz w:val="24"/>
          <w:szCs w:val="24"/>
          <w:highlight w:val="none"/>
          <w:u w:val="single"/>
          <w14:textFill>
            <w14:solidFill>
              <w14:schemeClr w14:val="tx1"/>
            </w14:solidFill>
          </w14:textFill>
        </w:rPr>
        <w:t xml:space="preserve"> （应明确预付款的支付比例和支付条件） </w:t>
      </w:r>
    </w:p>
    <w:p w14:paraId="40F34813">
      <w:pPr>
        <w:adjustRightInd w:val="0"/>
        <w:snapToGrid w:val="0"/>
        <w:spacing w:line="360" w:lineRule="auto"/>
        <w:ind w:firstLine="720"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成本补偿：</w:t>
      </w:r>
      <w:r>
        <w:rPr>
          <w:color w:val="000000" w:themeColor="text1"/>
          <w:sz w:val="24"/>
          <w:szCs w:val="24"/>
          <w:highlight w:val="none"/>
          <w:u w:val="single"/>
          <w14:textFill>
            <w14:solidFill>
              <w14:schemeClr w14:val="tx1"/>
            </w14:solidFill>
          </w14:textFill>
        </w:rPr>
        <w:t xml:space="preserve">      （应明确按照成本补偿方式的支付方式和支付条件）   </w:t>
      </w:r>
    </w:p>
    <w:p w14:paraId="5020E12F">
      <w:pPr>
        <w:adjustRightInd w:val="0"/>
        <w:snapToGrid w:val="0"/>
        <w:spacing w:line="360" w:lineRule="auto"/>
        <w:ind w:firstLine="720"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绩效激励：</w:t>
      </w:r>
      <w:r>
        <w:rPr>
          <w:color w:val="000000" w:themeColor="text1"/>
          <w:sz w:val="24"/>
          <w:szCs w:val="24"/>
          <w:highlight w:val="none"/>
          <w:u w:val="single"/>
          <w14:textFill>
            <w14:solidFill>
              <w14:schemeClr w14:val="tx1"/>
            </w14:solidFill>
          </w14:textFill>
        </w:rPr>
        <w:t xml:space="preserve">      （应明确按照绩效激励方式的支付方式和支付条件）   </w:t>
      </w:r>
    </w:p>
    <w:p w14:paraId="186BB193">
      <w:pPr>
        <w:numPr>
          <w:ilvl w:val="0"/>
          <w:numId w:val="1"/>
        </w:numPr>
        <w:adjustRightInd w:val="0"/>
        <w:snapToGrid w:val="0"/>
        <w:spacing w:line="360" w:lineRule="auto"/>
        <w:ind w:firstLine="482" w:firstLineChars="200"/>
        <w:rPr>
          <w:b/>
          <w:color w:val="000000" w:themeColor="text1"/>
          <w:sz w:val="24"/>
          <w:szCs w:val="24"/>
          <w:highlight w:val="none"/>
          <w:u w:val="single"/>
          <w14:textFill>
            <w14:solidFill>
              <w14:schemeClr w14:val="tx1"/>
            </w14:solidFill>
          </w14:textFill>
        </w:rPr>
      </w:pPr>
      <w:r>
        <w:rPr>
          <w:b/>
          <w:color w:val="000000" w:themeColor="text1"/>
          <w:sz w:val="24"/>
          <w:szCs w:val="24"/>
          <w:highlight w:val="none"/>
          <w14:textFill>
            <w14:solidFill>
              <w14:schemeClr w14:val="tx1"/>
            </w14:solidFill>
          </w14:textFill>
        </w:rPr>
        <w:t>合同履行</w:t>
      </w:r>
    </w:p>
    <w:p w14:paraId="768824A6">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（1）起始日期：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日，完成日期：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5FF2E2BF">
      <w:pPr>
        <w:adjustRightInd w:val="0"/>
        <w:snapToGrid w:val="0"/>
        <w:spacing w:line="360" w:lineRule="auto"/>
        <w:ind w:firstLine="480" w:firstLineChars="2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（2）履约地点</w:t>
      </w:r>
      <w:r>
        <w:rPr>
          <w:bCs/>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p>
    <w:p w14:paraId="03F1AFB4">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（3）履约担保：</w:t>
      </w:r>
      <w:r>
        <w:rPr>
          <w:color w:val="000000" w:themeColor="text1"/>
          <w:sz w:val="24"/>
          <w:szCs w:val="24"/>
          <w:highlight w:val="none"/>
          <w14:textFill>
            <w14:solidFill>
              <w14:schemeClr w14:val="tx1"/>
            </w14:solidFill>
          </w14:textFill>
        </w:rPr>
        <w:t>是否收取履约保证金：</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69EE3899">
      <w:pPr>
        <w:pStyle w:val="77"/>
        <w:snapToGrid w:val="0"/>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收取履约保证金形式：</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72FE25DD">
      <w:pPr>
        <w:pStyle w:val="77"/>
        <w:snapToGrid w:val="0"/>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收取履约保证金金额：</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1AFF78C9">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履约担保期限：</w:t>
      </w:r>
      <w:r>
        <w:rPr>
          <w:bCs/>
          <w:color w:val="000000" w:themeColor="text1"/>
          <w:sz w:val="24"/>
          <w:szCs w:val="24"/>
          <w:highlight w:val="none"/>
          <w:u w:val="single"/>
          <w14:textFill>
            <w14:solidFill>
              <w14:schemeClr w14:val="tx1"/>
            </w14:solidFill>
          </w14:textFill>
        </w:rPr>
        <w:t xml:space="preserve">                                  </w:t>
      </w:r>
    </w:p>
    <w:p w14:paraId="55C98744">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（4）分期履行要求：</w:t>
      </w:r>
      <w:r>
        <w:rPr>
          <w:bCs/>
          <w:color w:val="000000" w:themeColor="text1"/>
          <w:sz w:val="24"/>
          <w:szCs w:val="24"/>
          <w:highlight w:val="none"/>
          <w:u w:val="single"/>
          <w14:textFill>
            <w14:solidFill>
              <w14:schemeClr w14:val="tx1"/>
            </w14:solidFill>
          </w14:textFill>
        </w:rPr>
        <w:t xml:space="preserve">                                                        </w:t>
      </w:r>
    </w:p>
    <w:p w14:paraId="2F572A26">
      <w:pPr>
        <w:adjustRightInd w:val="0"/>
        <w:snapToGrid w:val="0"/>
        <w:spacing w:line="360" w:lineRule="auto"/>
        <w:ind w:firstLine="480" w:firstLineChars="200"/>
        <w:rPr>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（5）风险处置措施和替代方案：</w:t>
      </w:r>
      <w:r>
        <w:rPr>
          <w:color w:val="000000" w:themeColor="text1"/>
          <w:sz w:val="24"/>
          <w:szCs w:val="24"/>
          <w:highlight w:val="none"/>
          <w:u w:val="single"/>
          <w14:textFill>
            <w14:solidFill>
              <w14:schemeClr w14:val="tx1"/>
            </w14:solidFill>
          </w14:textFill>
        </w:rPr>
        <w:t xml:space="preserve">                                                               </w:t>
      </w:r>
    </w:p>
    <w:p w14:paraId="3DF8C39B">
      <w:pPr>
        <w:numPr>
          <w:ilvl w:val="0"/>
          <w:numId w:val="1"/>
        </w:num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合同验收</w:t>
      </w:r>
    </w:p>
    <w:p w14:paraId="0B74D5F2">
      <w:pPr>
        <w:numPr>
          <w:ilvl w:val="0"/>
          <w:numId w:val="3"/>
        </w:num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验收组织方式：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自行组织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委托第三方组织</w:t>
      </w:r>
    </w:p>
    <w:p w14:paraId="1C406714">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验收主体：</w:t>
      </w:r>
      <w:r>
        <w:rPr>
          <w:bCs/>
          <w:color w:val="000000" w:themeColor="text1"/>
          <w:sz w:val="24"/>
          <w:szCs w:val="24"/>
          <w:highlight w:val="none"/>
          <w:u w:val="single"/>
          <w14:textFill>
            <w14:solidFill>
              <w14:schemeClr w14:val="tx1"/>
            </w14:solidFill>
          </w14:textFill>
        </w:rPr>
        <w:t xml:space="preserve">                  </w:t>
      </w:r>
    </w:p>
    <w:p w14:paraId="6DBF2CA6">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是否邀请本项目的其他供应商参加验收：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5A20D9F5">
      <w:pPr>
        <w:adjustRightInd w:val="0"/>
        <w:snapToGrid w:val="0"/>
        <w:spacing w:line="360" w:lineRule="auto"/>
        <w:ind w:firstLine="960"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是否邀请专家参加验收：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39567D5F">
      <w:pPr>
        <w:adjustRightInd w:val="0"/>
        <w:snapToGrid w:val="0"/>
        <w:spacing w:line="360" w:lineRule="auto"/>
        <w:ind w:firstLine="960"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是否邀请服务对象参加验收：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46147888">
      <w:pPr>
        <w:adjustRightInd w:val="0"/>
        <w:snapToGrid w:val="0"/>
        <w:spacing w:line="360" w:lineRule="auto"/>
        <w:ind w:firstLine="960"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是否邀请第三方检测机构参加验收：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1A60DD23">
      <w:pPr>
        <w:adjustRightInd w:val="0"/>
        <w:snapToGrid w:val="0"/>
        <w:spacing w:line="360" w:lineRule="auto"/>
        <w:ind w:firstLine="960"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是否进行抽查检测：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是，抽查比例：</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1110587E">
      <w:pPr>
        <w:adjustRightInd w:val="0"/>
        <w:snapToGrid w:val="0"/>
        <w:spacing w:line="360" w:lineRule="auto"/>
        <w:ind w:firstLine="960"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是否存在破坏性检测：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w:t>
      </w:r>
      <w:r>
        <w:rPr>
          <w:bCs/>
          <w:color w:val="000000" w:themeColor="text1"/>
          <w:sz w:val="24"/>
          <w:szCs w:val="24"/>
          <w:highlight w:val="none"/>
          <w:u w:val="single"/>
          <w14:textFill>
            <w14:solidFill>
              <w14:schemeClr w14:val="tx1"/>
            </w14:solidFill>
          </w14:textFill>
        </w:rPr>
        <w:t>（应明确对被破坏的检测产品的处理方式）</w:t>
      </w:r>
    </w:p>
    <w:p w14:paraId="3B1F85E8">
      <w:pPr>
        <w:adjustRightInd w:val="0"/>
        <w:snapToGrid w:val="0"/>
        <w:spacing w:line="360" w:lineRule="auto"/>
        <w:ind w:firstLine="960"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4360EE99">
      <w:pPr>
        <w:adjustRightInd w:val="0"/>
        <w:snapToGrid w:val="0"/>
        <w:spacing w:line="360" w:lineRule="auto"/>
        <w:ind w:firstLine="960"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验收组织的其他事项：</w:t>
      </w:r>
      <w:r>
        <w:rPr>
          <w:bCs/>
          <w:color w:val="000000" w:themeColor="text1"/>
          <w:sz w:val="24"/>
          <w:szCs w:val="24"/>
          <w:highlight w:val="none"/>
          <w:u w:val="single"/>
          <w14:textFill>
            <w14:solidFill>
              <w14:schemeClr w14:val="tx1"/>
            </w14:solidFill>
          </w14:textFill>
        </w:rPr>
        <w:t xml:space="preserve">                </w:t>
      </w:r>
    </w:p>
    <w:p w14:paraId="78AE2AD6">
      <w:pPr>
        <w:adjustRightInd w:val="0"/>
        <w:snapToGrid w:val="0"/>
        <w:spacing w:line="360" w:lineRule="auto"/>
        <w:ind w:firstLine="480"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（2）履约验收时间：</w:t>
      </w:r>
      <w:r>
        <w:rPr>
          <w:bCs/>
          <w:color w:val="000000" w:themeColor="text1"/>
          <w:sz w:val="24"/>
          <w:szCs w:val="24"/>
          <w:highlight w:val="none"/>
          <w:u w:val="single"/>
          <w14:textFill>
            <w14:solidFill>
              <w14:schemeClr w14:val="tx1"/>
            </w14:solidFill>
          </w14:textFill>
        </w:rPr>
        <w:t xml:space="preserve">（计划于何时验收/供应商提出验收申请之日起   日内组织验收） </w:t>
      </w:r>
    </w:p>
    <w:p w14:paraId="4CAE49FB">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（3）履约验收方式：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一次性验收         </w:t>
      </w:r>
    </w:p>
    <w:p w14:paraId="5558EDEF">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分期/分项验收：</w:t>
      </w:r>
      <w:r>
        <w:rPr>
          <w:bCs/>
          <w:color w:val="000000" w:themeColor="text1"/>
          <w:sz w:val="24"/>
          <w:szCs w:val="24"/>
          <w:highlight w:val="none"/>
          <w:u w:val="single"/>
          <w14:textFill>
            <w14:solidFill>
              <w14:schemeClr w14:val="tx1"/>
            </w14:solidFill>
          </w14:textFill>
        </w:rPr>
        <w:t xml:space="preserve"> （应明确分期</w:t>
      </w:r>
      <w:r>
        <w:rPr>
          <w:bCs/>
          <w:color w:val="000000" w:themeColor="text1"/>
          <w:sz w:val="24"/>
          <w:szCs w:val="24"/>
          <w:highlight w:val="none"/>
          <w:u w:val="single"/>
          <w:lang w:val="en"/>
          <w14:textFill>
            <w14:solidFill>
              <w14:schemeClr w14:val="tx1"/>
            </w14:solidFill>
          </w14:textFill>
        </w:rPr>
        <w:t>/分项验收的工作安排</w:t>
      </w:r>
      <w:r>
        <w:rPr>
          <w:bCs/>
          <w:color w:val="000000" w:themeColor="text1"/>
          <w:sz w:val="24"/>
          <w:szCs w:val="24"/>
          <w:highlight w:val="none"/>
          <w:u w:val="single"/>
          <w14:textFill>
            <w14:solidFill>
              <w14:schemeClr w14:val="tx1"/>
            </w14:solidFill>
          </w14:textFill>
        </w:rPr>
        <w:t xml:space="preserve">）  </w:t>
      </w:r>
    </w:p>
    <w:p w14:paraId="4FACDC2A">
      <w:pPr>
        <w:adjustRightInd w:val="0"/>
        <w:snapToGrid w:val="0"/>
        <w:spacing w:line="360" w:lineRule="auto"/>
        <w:ind w:firstLine="480"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（4）履约验收程序：</w:t>
      </w:r>
      <w:r>
        <w:rPr>
          <w:bCs/>
          <w:color w:val="000000" w:themeColor="text1"/>
          <w:sz w:val="24"/>
          <w:szCs w:val="24"/>
          <w:highlight w:val="none"/>
          <w:u w:val="single"/>
          <w14:textFill>
            <w14:solidFill>
              <w14:schemeClr w14:val="tx1"/>
            </w14:solidFill>
          </w14:textFill>
        </w:rPr>
        <w:t xml:space="preserve">                                         </w:t>
      </w:r>
    </w:p>
    <w:p w14:paraId="35871824">
      <w:pPr>
        <w:adjustRightInd w:val="0"/>
        <w:snapToGrid w:val="0"/>
        <w:spacing w:line="360" w:lineRule="auto"/>
        <w:ind w:firstLine="480"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（5）履约验收的内容：</w:t>
      </w:r>
      <w:r>
        <w:rPr>
          <w:bCs/>
          <w:color w:val="000000" w:themeColor="text1"/>
          <w:sz w:val="24"/>
          <w:szCs w:val="24"/>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1AB5F19A">
      <w:pPr>
        <w:adjustRightInd w:val="0"/>
        <w:snapToGrid w:val="0"/>
        <w:spacing w:line="360" w:lineRule="auto"/>
        <w:ind w:firstLine="480"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（6）履约验收标准：</w:t>
      </w:r>
      <w:r>
        <w:rPr>
          <w:bCs/>
          <w:color w:val="000000" w:themeColor="text1"/>
          <w:sz w:val="24"/>
          <w:szCs w:val="24"/>
          <w:highlight w:val="none"/>
          <w:u w:val="single"/>
          <w14:textFill>
            <w14:solidFill>
              <w14:schemeClr w14:val="tx1"/>
            </w14:solidFill>
          </w14:textFill>
        </w:rPr>
        <w:t xml:space="preserve">                                         </w:t>
      </w:r>
    </w:p>
    <w:p w14:paraId="51025039">
      <w:pPr>
        <w:pStyle w:val="77"/>
        <w:snapToGrid w:val="0"/>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（7）是否以采购活动中供应商提供的样品作为参考：</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否</w:t>
      </w:r>
    </w:p>
    <w:p w14:paraId="60CC8C26">
      <w:pPr>
        <w:adjustRightInd w:val="0"/>
        <w:snapToGrid w:val="0"/>
        <w:spacing w:line="360" w:lineRule="auto"/>
        <w:ind w:firstLine="480"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（8）履约验收其他事项：</w:t>
      </w:r>
      <w:r>
        <w:rPr>
          <w:bCs/>
          <w:color w:val="000000" w:themeColor="text1"/>
          <w:sz w:val="24"/>
          <w:szCs w:val="24"/>
          <w:highlight w:val="none"/>
          <w:u w:val="single"/>
          <w14:textFill>
            <w14:solidFill>
              <w14:schemeClr w14:val="tx1"/>
            </w14:solidFill>
          </w14:textFill>
        </w:rPr>
        <w:t xml:space="preserve">      （产权过户登记等）          </w:t>
      </w:r>
    </w:p>
    <w:p w14:paraId="222967CC">
      <w:pPr>
        <w:numPr>
          <w:ilvl w:val="0"/>
          <w:numId w:val="1"/>
        </w:num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组成合同的文件</w:t>
      </w:r>
    </w:p>
    <w:p w14:paraId="297FB65B">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23839235">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（1）政府采购合同协议书及其变更、补充协议</w:t>
      </w:r>
    </w:p>
    <w:p w14:paraId="098CCA3B">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（2）政府采购合同专用条款</w:t>
      </w:r>
    </w:p>
    <w:p w14:paraId="7936FE24">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（3）政府采购合同通用条款</w:t>
      </w:r>
    </w:p>
    <w:p w14:paraId="4DC09A92">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（4）中标（成交）通知书</w:t>
      </w:r>
    </w:p>
    <w:p w14:paraId="70F6B7AA">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（5）投标（响应）文件</w:t>
      </w:r>
    </w:p>
    <w:p w14:paraId="43F0F2CA">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（6）采购文件</w:t>
      </w:r>
    </w:p>
    <w:p w14:paraId="0D9EF6F1">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（7）有关技术文件，图纸</w:t>
      </w:r>
    </w:p>
    <w:p w14:paraId="267440F0">
      <w:pPr>
        <w:pStyle w:val="77"/>
        <w:snapToGrid w:val="0"/>
        <w:spacing w:line="360" w:lineRule="auto"/>
        <w:ind w:firstLine="48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w:t>
      </w:r>
      <w:r>
        <w:rPr>
          <w:rFonts w:ascii="Times New Roman" w:hAnsi="Times New Roman" w:eastAsia="宋体" w:cs="Times New Roman"/>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54EBF24E">
      <w:pPr>
        <w:numPr>
          <w:ilvl w:val="0"/>
          <w:numId w:val="1"/>
        </w:num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合同生效</w:t>
      </w:r>
    </w:p>
    <w:p w14:paraId="7ABB803C">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本合同自</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生效。</w:t>
      </w:r>
    </w:p>
    <w:p w14:paraId="06337F34">
      <w:pPr>
        <w:numPr>
          <w:ilvl w:val="0"/>
          <w:numId w:val="1"/>
        </w:num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合同份数</w:t>
      </w:r>
    </w:p>
    <w:p w14:paraId="00A395AF">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本合同一式</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份，甲方执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份，乙方执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份，均具有同等法律效力。</w:t>
      </w:r>
    </w:p>
    <w:p w14:paraId="1EB1F8FF">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合同订立时间：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2CAA1EBD">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合同订立地点：</w:t>
      </w:r>
      <w:r>
        <w:rPr>
          <w:color w:val="000000" w:themeColor="text1"/>
          <w:sz w:val="24"/>
          <w:szCs w:val="24"/>
          <w:highlight w:val="none"/>
          <w:u w:val="single"/>
          <w14:textFill>
            <w14:solidFill>
              <w14:schemeClr w14:val="tx1"/>
            </w14:solidFill>
          </w14:textFill>
        </w:rPr>
        <w:t xml:space="preserve">                           </w:t>
      </w:r>
    </w:p>
    <w:p w14:paraId="1569FE4F">
      <w:pPr>
        <w:adjustRightInd w:val="0"/>
        <w:snapToGrid w:val="0"/>
        <w:spacing w:line="360" w:lineRule="auto"/>
        <w:ind w:firstLine="480" w:firstLineChars="20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附件：具体标的及其技术要求和商务要求、联合协议、分包意向协议等。</w:t>
      </w:r>
    </w:p>
    <w:tbl>
      <w:tblPr>
        <w:tblStyle w:val="17"/>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265D29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top w:val="single" w:color="auto" w:sz="4" w:space="0"/>
              <w:left w:val="single" w:color="auto" w:sz="4" w:space="0"/>
              <w:bottom w:val="single" w:color="auto" w:sz="2" w:space="0"/>
              <w:right w:val="single" w:color="auto" w:sz="2" w:space="0"/>
            </w:tcBorders>
            <w:vAlign w:val="center"/>
          </w:tcPr>
          <w:p w14:paraId="1E4DDD07">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2C2519D7">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乙方（供应商）</w:t>
            </w:r>
          </w:p>
        </w:tc>
      </w:tr>
      <w:tr w14:paraId="6533B1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F0C2F4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717DA637">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C5E8D27">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525A1710">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902BE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0B2AA307">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7DBD03C1">
            <w:pPr>
              <w:adjustRightInd w:val="0"/>
              <w:snapToGrid w:val="0"/>
              <w:spacing w:line="300" w:lineRule="exact"/>
              <w:ind w:firstLine="100" w:firstLineChars="48"/>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745F680">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20E8237">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71A6392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10EC0183">
            <w:pPr>
              <w:adjustRightInd w:val="0"/>
              <w:snapToGrid w:val="0"/>
              <w:spacing w:line="300" w:lineRule="exact"/>
              <w:jc w:val="center"/>
              <w:rPr>
                <w:color w:val="000000" w:themeColor="text1"/>
                <w:szCs w:val="21"/>
                <w:highlight w:val="none"/>
                <w14:textFill>
                  <w14:solidFill>
                    <w14:schemeClr w14:val="tx1"/>
                  </w14:solidFill>
                </w14:textFill>
              </w:rPr>
            </w:pPr>
          </w:p>
        </w:tc>
      </w:tr>
      <w:tr w14:paraId="5C15B8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095EB1DE">
            <w:pPr>
              <w:widowControl/>
              <w:jc w:val="left"/>
              <w:rPr>
                <w:color w:val="000000" w:themeColor="text1"/>
                <w:szCs w:val="21"/>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0DA3AA3">
            <w:pPr>
              <w:widowControl/>
              <w:jc w:val="left"/>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F084068">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1A9B8A4F">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6F59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860D62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604DCBA">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394B2B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3A9A27CC">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7A9362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5E942BE">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0B25819">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4EAB89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3BB71AFE">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080A01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3302B7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A009DA4">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4AC90D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5B3E81E4">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B1342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2EBB7B4">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7F3308F">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79AB25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44B7D280">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19C2B7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CF4C02E">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47D64ED">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995A51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CEC8BF8">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18AF6E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DF6828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FB914C">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201F94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30C535D8">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E11A4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1D2FAFF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97F8EA5">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D9034F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604BFC0F">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7FC7F8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5E4FAB7">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1C733CF6">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BF6743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08D573CB">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AE733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358F8B15">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ED77E2B">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C1013C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5FD3C987">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6117CA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2A17930">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7B31E79">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DA4E17E">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96BA14C">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7C5330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left w:val="single" w:color="auto" w:sz="4" w:space="0"/>
              <w:bottom w:val="single" w:color="auto" w:sz="4" w:space="0"/>
              <w:right w:val="single" w:color="auto" w:sz="4" w:space="0"/>
            </w:tcBorders>
            <w:vAlign w:val="center"/>
          </w:tcPr>
          <w:p w14:paraId="68C58383">
            <w:pPr>
              <w:pStyle w:val="7"/>
              <w:adjustRightInd w:val="0"/>
              <w:snapToGrid w:val="0"/>
              <w:spacing w:before="156" w:beforeLines="50" w:after="0" w:line="360" w:lineRule="auto"/>
              <w:ind w:left="0" w:leftChars="0"/>
              <w:jc w:val="left"/>
              <w:rPr>
                <w:color w:val="000000" w:themeColor="text1"/>
                <w:spacing w:val="20"/>
                <w:szCs w:val="21"/>
                <w:highlight w:val="none"/>
                <w14:textFill>
                  <w14:solidFill>
                    <w14:schemeClr w14:val="tx1"/>
                  </w14:solidFill>
                </w14:textFill>
              </w:rPr>
            </w:pPr>
            <w:r>
              <w:rPr>
                <w:color w:val="000000" w:themeColor="text1"/>
                <w:szCs w:val="21"/>
                <w:highlight w:val="none"/>
                <w14:textFill>
                  <w14:solidFill>
                    <w14:schemeClr w14:val="tx1"/>
                  </w14:solidFill>
                </w14:textFill>
              </w:rPr>
              <w:t>注：涉及联合体或其他合同主体的信息应按上表格式加列。</w:t>
            </w:r>
          </w:p>
        </w:tc>
      </w:tr>
    </w:tbl>
    <w:p w14:paraId="1E7A63A5">
      <w:pPr>
        <w:pStyle w:val="2"/>
        <w:adjustRightInd w:val="0"/>
        <w:snapToGrid w:val="0"/>
        <w:spacing w:before="156" w:beforeLines="50"/>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cs="Times New Roman"/>
          <w:b w:val="0"/>
          <w:bCs w:val="0"/>
          <w:color w:val="000000" w:themeColor="text1"/>
          <w:szCs w:val="21"/>
          <w:highlight w:val="none"/>
          <w:u w:val="single"/>
          <w14:textFill>
            <w14:solidFill>
              <w14:schemeClr w14:val="tx1"/>
            </w14:solidFill>
          </w14:textFill>
        </w:rPr>
        <w:br w:type="page"/>
      </w:r>
      <w:bookmarkStart w:id="10" w:name="_Toc27624"/>
      <w:r>
        <w:rPr>
          <w:rFonts w:ascii="Times New Roman" w:hAnsi="Times New Roman" w:eastAsia="黑体" w:cs="Times New Roman"/>
          <w:b w:val="0"/>
          <w:bCs w:val="0"/>
          <w:color w:val="000000" w:themeColor="text1"/>
          <w:sz w:val="28"/>
          <w:szCs w:val="28"/>
          <w:highlight w:val="none"/>
          <w14:textFill>
            <w14:solidFill>
              <w14:schemeClr w14:val="tx1"/>
            </w14:solidFill>
          </w14:textFill>
        </w:rPr>
        <w:t>第二节 政府采购合同通用条款</w:t>
      </w:r>
      <w:bookmarkEnd w:id="10"/>
    </w:p>
    <w:p w14:paraId="584D8349">
      <w:pPr>
        <w:tabs>
          <w:tab w:val="left" w:pos="8820"/>
          <w:tab w:val="left" w:pos="9345"/>
          <w:tab w:val="left" w:pos="9765"/>
        </w:tabs>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1. </w:t>
      </w:r>
      <w:r>
        <w:rPr>
          <w:b/>
          <w:bCs/>
          <w:color w:val="000000" w:themeColor="text1"/>
          <w:sz w:val="24"/>
          <w:szCs w:val="24"/>
          <w:highlight w:val="none"/>
          <w14:textFill>
            <w14:solidFill>
              <w14:schemeClr w14:val="tx1"/>
            </w14:solidFill>
          </w14:textFill>
        </w:rPr>
        <w:t>定义</w:t>
      </w:r>
    </w:p>
    <w:p w14:paraId="30B27943">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1.1合同当事人</w:t>
      </w:r>
    </w:p>
    <w:p w14:paraId="49E2CED7">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（1）采购人（以下称甲方）是指使用财政性资金，通过政府采购方式向供应商购买货物及其相关服务的国家机关、事业单位、团体组织。</w:t>
      </w:r>
    </w:p>
    <w:p w14:paraId="1D25DD3B">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50A4F314">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（3）其他合同主体是指除采购人和供应商以外，</w:t>
      </w:r>
      <w:r>
        <w:rPr>
          <w:bCs/>
          <w:color w:val="000000" w:themeColor="text1"/>
          <w:sz w:val="24"/>
          <w:szCs w:val="24"/>
          <w:highlight w:val="none"/>
          <w14:textFill>
            <w14:solidFill>
              <w14:schemeClr w14:val="tx1"/>
            </w14:solidFill>
          </w14:textFill>
        </w:rPr>
        <w:t>依法参与合同缔结或履行，享有权利、承担义务的合同当事人</w:t>
      </w:r>
      <w:r>
        <w:rPr>
          <w:color w:val="000000" w:themeColor="text1"/>
          <w:sz w:val="24"/>
          <w:szCs w:val="24"/>
          <w:highlight w:val="none"/>
          <w14:textFill>
            <w14:solidFill>
              <w14:schemeClr w14:val="tx1"/>
            </w14:solidFill>
          </w14:textFill>
        </w:rPr>
        <w:t>。</w:t>
      </w:r>
    </w:p>
    <w:p w14:paraId="630E2D84">
      <w:pPr>
        <w:tabs>
          <w:tab w:val="left" w:pos="570"/>
          <w:tab w:val="left" w:pos="9240"/>
          <w:tab w:val="left" w:pos="9555"/>
        </w:tabs>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1.2本合同下列术语应解释为：</w:t>
      </w:r>
    </w:p>
    <w:p w14:paraId="31F50655">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（1）“合同”系指</w:t>
      </w:r>
      <w:r>
        <w:rPr>
          <w:bCs/>
          <w:color w:val="000000" w:themeColor="text1"/>
          <w:sz w:val="24"/>
          <w:szCs w:val="24"/>
          <w:highlight w:val="none"/>
          <w14:textFill>
            <w14:solidFill>
              <w14:schemeClr w14:val="tx1"/>
            </w14:solidFill>
          </w14:textFill>
        </w:rPr>
        <w:t>合同当事人意思表示达成一致的任何协议，包括签署的</w:t>
      </w:r>
      <w:r>
        <w:rPr>
          <w:color w:val="000000" w:themeColor="text1"/>
          <w:sz w:val="24"/>
          <w:szCs w:val="24"/>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000BB81">
      <w:pPr>
        <w:tabs>
          <w:tab w:val="left" w:pos="570"/>
          <w:tab w:val="left" w:pos="9240"/>
          <w:tab w:val="left" w:pos="9555"/>
        </w:tabs>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（2）“合同价款”系指根据本合同规定乙方在全面履行合同义务后甲方应支付给乙方的价款。</w:t>
      </w:r>
    </w:p>
    <w:p w14:paraId="5726086C">
      <w:pPr>
        <w:tabs>
          <w:tab w:val="left" w:pos="570"/>
          <w:tab w:val="left" w:pos="9240"/>
          <w:tab w:val="left" w:pos="9555"/>
        </w:tabs>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技术资料和材料等。</w:t>
      </w:r>
    </w:p>
    <w:p w14:paraId="691DF8CA">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（4）“相关服务”系指根据合同规定，乙方应提供的与货物有关的技术、管理和</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义务。</w:t>
      </w:r>
    </w:p>
    <w:p w14:paraId="3DDE4A41">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3D37688">
      <w:pPr>
        <w:tabs>
          <w:tab w:val="left" w:pos="570"/>
          <w:tab w:val="left" w:pos="9240"/>
          <w:tab w:val="left" w:pos="9555"/>
        </w:tabs>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32770DDB">
      <w:pPr>
        <w:tabs>
          <w:tab w:val="left" w:pos="570"/>
          <w:tab w:val="left" w:pos="9240"/>
          <w:tab w:val="left" w:pos="9555"/>
        </w:tabs>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（7）其他术语解释，见【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1C5B6B38">
      <w:pPr>
        <w:numPr>
          <w:ilvl w:val="0"/>
          <w:numId w:val="4"/>
        </w:num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合同标的及金额</w:t>
      </w:r>
    </w:p>
    <w:p w14:paraId="7A2D02F4">
      <w:pPr>
        <w:autoSpaceDE w:val="0"/>
        <w:autoSpaceDN w:val="0"/>
        <w:adjustRightInd w:val="0"/>
        <w:snapToGrid w:val="0"/>
        <w:spacing w:line="360" w:lineRule="auto"/>
        <w:ind w:firstLine="480" w:firstLineChars="200"/>
        <w:jc w:val="left"/>
        <w:rPr>
          <w:b/>
          <w:bCs/>
          <w:i/>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任何费用。</w:t>
      </w:r>
    </w:p>
    <w:p w14:paraId="2BD75303">
      <w:pPr>
        <w:adjustRightInd w:val="0"/>
        <w:snapToGrid w:val="0"/>
        <w:spacing w:line="360" w:lineRule="auto"/>
        <w:ind w:firstLine="482"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 履行合同的时间、地点和方式</w:t>
      </w:r>
    </w:p>
    <w:p w14:paraId="7E98640A">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3.1 乙方应当在约定的时间、地点，按照约定方式履行合同。</w:t>
      </w:r>
    </w:p>
    <w:p w14:paraId="3742DE8D">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4. 甲方的权利和义务</w:t>
      </w:r>
    </w:p>
    <w:p w14:paraId="1B609813">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63B6C400">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758A2F8E">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514F4894">
      <w:pPr>
        <w:adjustRightInd w:val="0"/>
        <w:snapToGrid w:val="0"/>
        <w:spacing w:line="360" w:lineRule="auto"/>
        <w:ind w:firstLine="480" w:firstLineChars="200"/>
        <w:rPr>
          <w:rFonts w:eastAsia="华文楷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4.4 甲方应当按照合同约定及时对交付的货物进行验收，未在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约定的期限内对乙方履约提出任何异议或者向乙方作出任何说明的，视为验收通过。</w:t>
      </w:r>
    </w:p>
    <w:p w14:paraId="69A0487B">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4509740B">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4.6 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约定应由甲方承担的其他义务和责任。</w:t>
      </w:r>
    </w:p>
    <w:p w14:paraId="16B5B047">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5. 乙方的权利和义务</w:t>
      </w:r>
    </w:p>
    <w:p w14:paraId="533844F2">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30B9D7C0">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496A070">
      <w:pPr>
        <w:pStyle w:val="6"/>
        <w:adjustRightInd w:val="0"/>
        <w:snapToGrid w:val="0"/>
        <w:spacing w:after="0"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5.3乙方有权根据合同约定向甲方收取合同价款。</w:t>
      </w:r>
    </w:p>
    <w:p w14:paraId="0195D1AB">
      <w:pPr>
        <w:pStyle w:val="6"/>
        <w:adjustRightInd w:val="0"/>
        <w:snapToGrid w:val="0"/>
        <w:spacing w:after="0"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5.4国家法律法规规定及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约定应由乙方承担的其他义务和责任。</w:t>
      </w:r>
    </w:p>
    <w:p w14:paraId="6B992C97">
      <w:pPr>
        <w:numPr>
          <w:ilvl w:val="0"/>
          <w:numId w:val="5"/>
        </w:num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合同履行</w:t>
      </w:r>
    </w:p>
    <w:p w14:paraId="6E5081C8">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6.1 甲乙双方应当按照</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约定顺序履行合同义务；如果没有先后顺序的，应当同时履行。</w:t>
      </w:r>
    </w:p>
    <w:p w14:paraId="218FD4D0">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5E3EC7B">
      <w:pPr>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7. 货物包装、运输、保险和交付要求</w:t>
      </w:r>
    </w:p>
    <w:p w14:paraId="33F3F803">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7.1 本合同</w:t>
      </w:r>
      <w:r>
        <w:rPr>
          <w:bCs/>
          <w:color w:val="000000" w:themeColor="text1"/>
          <w:sz w:val="24"/>
          <w:szCs w:val="24"/>
          <w:highlight w:val="none"/>
          <w14:textFill>
            <w14:solidFill>
              <w14:schemeClr w14:val="tx1"/>
            </w14:solidFill>
          </w14:textFill>
        </w:rPr>
        <w:t>涉及商品包装、快递包装的，</w:t>
      </w:r>
      <w:r>
        <w:rPr>
          <w:color w:val="000000" w:themeColor="text1"/>
          <w:sz w:val="24"/>
          <w:szCs w:val="24"/>
          <w:highlight w:val="none"/>
          <w14:textFill>
            <w14:solidFill>
              <w14:schemeClr w14:val="tx1"/>
            </w14:solidFill>
          </w14:textFill>
        </w:rPr>
        <w:t>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约定的</w:t>
      </w:r>
      <w:r>
        <w:rPr>
          <w:color w:val="000000" w:themeColor="text1"/>
          <w:sz w:val="24"/>
          <w:szCs w:val="24"/>
          <w:highlight w:val="none"/>
          <w14:textFill>
            <w14:solidFill>
              <w14:schemeClr w14:val="tx1"/>
            </w14:solidFill>
          </w14:textFill>
        </w:rPr>
        <w:t>指定现场。</w:t>
      </w:r>
    </w:p>
    <w:p w14:paraId="317E4FF3">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7.2 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55CDF458">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7.3 货物保险要求按</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规定执行</w:t>
      </w:r>
      <w:r>
        <w:rPr>
          <w:color w:val="000000" w:themeColor="text1"/>
          <w:sz w:val="24"/>
          <w:szCs w:val="24"/>
          <w:highlight w:val="none"/>
          <w14:textFill>
            <w14:solidFill>
              <w14:schemeClr w14:val="tx1"/>
            </w14:solidFill>
          </w14:textFill>
        </w:rPr>
        <w:t>。</w:t>
      </w:r>
    </w:p>
    <w:p w14:paraId="5923B05B">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9316B79">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7.5 乙方在运输到达之前应提前通知甲方，并提示货物运输装卸的注意事项，甲方配合乙方做好货物的接收工作。</w:t>
      </w:r>
    </w:p>
    <w:p w14:paraId="07F4E7B0">
      <w:pPr>
        <w:pStyle w:val="77"/>
        <w:snapToGrid w:val="0"/>
        <w:spacing w:line="360" w:lineRule="auto"/>
        <w:ind w:firstLine="48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5968FF89">
      <w:pPr>
        <w:adjustRightInd w:val="0"/>
        <w:snapToGrid w:val="0"/>
        <w:spacing w:line="360" w:lineRule="auto"/>
        <w:ind w:firstLine="482"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8. 质量标准和保证</w:t>
      </w:r>
    </w:p>
    <w:p w14:paraId="2C20183E">
      <w:pPr>
        <w:pStyle w:val="8"/>
        <w:adjustRightInd w:val="0"/>
        <w:snapToGrid w:val="0"/>
        <w:spacing w:line="360" w:lineRule="auto"/>
        <w:ind w:firstLine="480" w:firstLineChars="200"/>
        <w:jc w:val="left"/>
        <w:rPr>
          <w:rFonts w:ascii="Times New Roman" w:hAnsi="Times New Roman" w:cs="Times New Roman"/>
          <w:b/>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8.1 质量标准</w:t>
      </w:r>
    </w:p>
    <w:p w14:paraId="664EC475">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6D3B6B5">
      <w:pPr>
        <w:pStyle w:val="8"/>
        <w:adjustRightInd w:val="0"/>
        <w:snapToGrid w:val="0"/>
        <w:spacing w:line="360" w:lineRule="auto"/>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（2）采用中华人民共和国法定计量单位。</w:t>
      </w:r>
    </w:p>
    <w:p w14:paraId="331547C6">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（3）乙方所提供的货物应符合国家有关安全、环保、卫生的规定。</w:t>
      </w:r>
    </w:p>
    <w:p w14:paraId="526F40E2">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111902A9">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8.2 保证</w:t>
      </w:r>
    </w:p>
    <w:p w14:paraId="0787B7BC">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规定或乙方书面承诺（两者以较长的为准）的质量保证期内，本保证保持有效。</w:t>
      </w:r>
    </w:p>
    <w:p w14:paraId="7CA04C75">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（2）在质量保证期内所发现的缺陷，甲方应尽快以书面形式通知乙方。</w:t>
      </w:r>
    </w:p>
    <w:p w14:paraId="2CA2284E">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（3）乙方收到通知后，应在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规定的响应时间内以合理的速度免费维修或更换有缺陷的货物或部件。</w:t>
      </w:r>
    </w:p>
    <w:p w14:paraId="63F0FF4B">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2F7EBA9C">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2BC9CEC3">
      <w:pPr>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9. 权利瑕疵担保</w:t>
      </w:r>
    </w:p>
    <w:p w14:paraId="780DCB61">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9.1 乙方保证对其出售的货物享有合法的权利。</w:t>
      </w:r>
    </w:p>
    <w:p w14:paraId="44403F73">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9.2 乙方保证在交付的货物上不存在抵押权等担保物权。</w:t>
      </w:r>
    </w:p>
    <w:p w14:paraId="6FCEF850">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9.3 如甲方使用上述货物构成对第三人侵权的，则由乙方承担全部责任。</w:t>
      </w:r>
    </w:p>
    <w:p w14:paraId="72191796">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10. 知识产权保护</w:t>
      </w:r>
    </w:p>
    <w:p w14:paraId="47AABF84">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10.1 乙方对其所销售的货物应当享有知识产权或经权利人合法授权，保证没有侵犯任何第三人的知识产权等权利。</w:t>
      </w:r>
      <w:bookmarkStart w:id="11" w:name="_Hlk163047038"/>
      <w:r>
        <w:rPr>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1"/>
      <w:r>
        <w:rPr>
          <w:color w:val="000000" w:themeColor="text1"/>
          <w:sz w:val="24"/>
          <w:szCs w:val="24"/>
          <w:highlight w:val="none"/>
          <w14:textFill>
            <w14:solidFill>
              <w14:schemeClr w14:val="tx1"/>
            </w14:solidFill>
          </w14:textFill>
        </w:rPr>
        <w:t>。</w:t>
      </w:r>
    </w:p>
    <w:p w14:paraId="7C8205B0">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11. 保密义务</w:t>
      </w:r>
    </w:p>
    <w:p w14:paraId="23212FDE">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中约定。</w:t>
      </w:r>
    </w:p>
    <w:p w14:paraId="4B362619">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12. 合同价款支付</w:t>
      </w:r>
    </w:p>
    <w:p w14:paraId="77606DBD">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12.1 合同价款支付按照国库集中支付制度及财政管理相关规定执行。</w:t>
      </w:r>
    </w:p>
    <w:p w14:paraId="495ED1A3">
      <w:pPr>
        <w:pStyle w:val="2"/>
        <w:adjustRightInd w:val="0"/>
        <w:snapToGrid w:val="0"/>
        <w:spacing w:before="0" w:after="0"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color w:val="000000" w:themeColor="text1"/>
          <w:sz w:val="24"/>
          <w:szCs w:val="24"/>
          <w:highlight w:val="none"/>
          <w14:textFill>
            <w14:solidFill>
              <w14:schemeClr w14:val="tx1"/>
            </w14:solidFill>
          </w14:textFill>
        </w:rPr>
        <w:t>政府采购合同专用条款</w:t>
      </w:r>
      <w:r>
        <w:rPr>
          <w:rFonts w:ascii="Times New Roman" w:hAnsi="Times New Roman" w:cs="Times New Roman"/>
          <w:b w:val="0"/>
          <w:bCs w:val="0"/>
          <w:color w:val="000000" w:themeColor="text1"/>
          <w:sz w:val="24"/>
          <w:szCs w:val="24"/>
          <w:highlight w:val="none"/>
          <w14:textFill>
            <w14:solidFill>
              <w14:schemeClr w14:val="tx1"/>
            </w14:solidFill>
          </w14:textFill>
        </w:rPr>
        <w:t>】中约定。</w:t>
      </w:r>
    </w:p>
    <w:p w14:paraId="559D3C4C">
      <w:pPr>
        <w:pStyle w:val="6"/>
        <w:adjustRightInd w:val="0"/>
        <w:snapToGrid w:val="0"/>
        <w:spacing w:after="0" w:line="360" w:lineRule="auto"/>
        <w:ind w:firstLine="482" w:firstLineChars="200"/>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13. 履约保证金</w:t>
      </w:r>
    </w:p>
    <w:p w14:paraId="0C1F0089">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13.1 乙方应当以支票、汇票、本票或者金融机构、担保机构出具的保函等非现金形式提交。</w:t>
      </w:r>
    </w:p>
    <w:p w14:paraId="1C6441D7">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13.2 如果乙方出现</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4D3EA62D">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13.3 甲方在项目通过验收后按照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规定支付。</w:t>
      </w:r>
    </w:p>
    <w:p w14:paraId="7779FAB7">
      <w:pPr>
        <w:autoSpaceDE w:val="0"/>
        <w:autoSpaceDN w:val="0"/>
        <w:adjustRightInd w:val="0"/>
        <w:snapToGrid w:val="0"/>
        <w:spacing w:line="360" w:lineRule="auto"/>
        <w:ind w:firstLine="482" w:firstLineChars="200"/>
        <w:jc w:val="left"/>
        <w:rPr>
          <w:b/>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 xml:space="preserve">14. </w:t>
      </w:r>
      <w:r>
        <w:rPr>
          <w:b/>
          <w:color w:val="000000" w:themeColor="text1"/>
          <w:sz w:val="24"/>
          <w:szCs w:val="24"/>
          <w:highlight w:val="none"/>
          <w14:textFill>
            <w14:solidFill>
              <w14:schemeClr w14:val="tx1"/>
            </w14:solidFill>
          </w14:textFill>
        </w:rPr>
        <w:t>售后服务</w:t>
      </w:r>
    </w:p>
    <w:p w14:paraId="1D942DAD">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14.1 除项目不涉及或采购活动中明确约定无须承担外，乙方还应提供下列服务：</w:t>
      </w:r>
    </w:p>
    <w:p w14:paraId="58A90E9A">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（1）货物的现场移动、安装、调试、启动监督及技术支持；</w:t>
      </w:r>
    </w:p>
    <w:p w14:paraId="68A21218">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（2）提供货物组装和维修所需的专用工具和辅助材料；</w:t>
      </w:r>
    </w:p>
    <w:p w14:paraId="2C9D0EFE">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约定的期限内对所有的货物实施运行监督、维修，但前提条件是该服务并不能免除乙方在质量保证期内所承担的义务；</w:t>
      </w:r>
    </w:p>
    <w:p w14:paraId="2054EBCF">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（4）在制造商所在地或指定现场就货物的安装、启动、运营、维护、废弃处置等对甲方操作人员进行培训；</w:t>
      </w:r>
    </w:p>
    <w:p w14:paraId="74E72D40">
      <w:pPr>
        <w:pStyle w:val="77"/>
        <w:snapToGrid w:val="0"/>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（5）依照法律、行政法规的规定或者按照</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63BFF446">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规定由乙方提供的其他服务。</w:t>
      </w:r>
    </w:p>
    <w:p w14:paraId="560AFD5E">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14.2 乙方提供的售后服务的费用已包含在合同价款中，甲方不再另行支付。</w:t>
      </w:r>
    </w:p>
    <w:p w14:paraId="7EA6D41D">
      <w:pPr>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15. 违约责任</w:t>
      </w:r>
    </w:p>
    <w:p w14:paraId="61245BFD">
      <w:pPr>
        <w:adjustRightInd w:val="0"/>
        <w:snapToGrid w:val="0"/>
        <w:spacing w:line="360" w:lineRule="auto"/>
        <w:ind w:firstLine="480"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15.1质量瑕疵的违约责任</w:t>
      </w:r>
    </w:p>
    <w:p w14:paraId="4AE9D1B3">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乙方提供的产品不符合合同约定的质量标准或存在产品质量缺陷，甲方有权要求乙方根据</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要求</w:t>
      </w:r>
      <w:r>
        <w:rPr>
          <w:color w:val="000000" w:themeColor="text1"/>
          <w:sz w:val="24"/>
          <w:szCs w:val="24"/>
          <w:highlight w:val="none"/>
          <w14:textFill>
            <w14:solidFill>
              <w14:schemeClr w14:val="tx1"/>
            </w14:solidFill>
          </w14:textFill>
        </w:rPr>
        <w:t>及时修理、重作、更换，并承担由此给甲方造成的损失。</w:t>
      </w:r>
    </w:p>
    <w:p w14:paraId="071EA33C">
      <w:pPr>
        <w:autoSpaceDE w:val="0"/>
        <w:autoSpaceDN w:val="0"/>
        <w:adjustRightInd w:val="0"/>
        <w:snapToGrid w:val="0"/>
        <w:spacing w:line="360" w:lineRule="auto"/>
        <w:ind w:firstLine="480"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15.2 迟延交货的违约责任</w:t>
      </w:r>
    </w:p>
    <w:p w14:paraId="3D68FB28">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F77F682">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规定执行。如果涉及公共利益，且赔偿金额无法弥补公共利益损失，甲方可要求继续履行或者采取其他补救措施。</w:t>
      </w:r>
    </w:p>
    <w:p w14:paraId="3838D648">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15.3 迟延支付的违约责任</w:t>
      </w:r>
    </w:p>
    <w:p w14:paraId="77816823">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甲方存在迟延支付乙方合同款项的，应当承担</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规定的逾期付款利息。</w:t>
      </w:r>
    </w:p>
    <w:p w14:paraId="3A84FAB4">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15.4其他违约责任根据项目实际需要按</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w:t>
      </w:r>
    </w:p>
    <w:p w14:paraId="1A92AC20">
      <w:pPr>
        <w:numPr>
          <w:ilvl w:val="0"/>
          <w:numId w:val="6"/>
        </w:numPr>
        <w:autoSpaceDE w:val="0"/>
        <w:autoSpaceDN w:val="0"/>
        <w:adjustRightInd w:val="0"/>
        <w:snapToGrid w:val="0"/>
        <w:spacing w:line="360" w:lineRule="auto"/>
        <w:ind w:firstLine="482"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合同变更、中止与终止</w:t>
      </w:r>
    </w:p>
    <w:p w14:paraId="07E20E36">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16.1合同的变更</w:t>
      </w:r>
    </w:p>
    <w:p w14:paraId="0647E525">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0F2E6069">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16.2合同的中止</w:t>
      </w:r>
    </w:p>
    <w:p w14:paraId="013556D1">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（1）合同履行过程中因供应商就采购文件、采购过程或结果提起投诉的，甲方认为有必要的，可以中止合同的履行。</w:t>
      </w:r>
    </w:p>
    <w:p w14:paraId="76504C04">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812939">
      <w:pPr>
        <w:pStyle w:val="77"/>
        <w:snapToGrid w:val="0"/>
        <w:spacing w:line="360" w:lineRule="auto"/>
        <w:ind w:firstLine="480"/>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531720C9">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（4）甲方不得以行政区划调整、政府换届、机构或者职能调整以及相关责任人更替为由中止合同。</w:t>
      </w:r>
    </w:p>
    <w:p w14:paraId="395197E3">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16.3合同的终止</w:t>
      </w:r>
    </w:p>
    <w:p w14:paraId="0A3CAEBE">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（1）合同因有效期限届满而终止；</w:t>
      </w:r>
    </w:p>
    <w:p w14:paraId="5508693E">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（2）乙方未按合同约定履行，构成根本性违约的，甲方有权终止合同，并追究乙方的违约责任。</w:t>
      </w:r>
    </w:p>
    <w:p w14:paraId="3EBA4E88">
      <w:pPr>
        <w:pStyle w:val="77"/>
        <w:snapToGrid w:val="0"/>
        <w:spacing w:line="360" w:lineRule="auto"/>
        <w:ind w:firstLine="48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16.4 </w:t>
      </w:r>
      <w:r>
        <w:rPr>
          <w:rFonts w:ascii="Times New Roman" w:hAnsi="Times New Roman" w:eastAsia="宋体" w:cs="Times New Roman"/>
          <w:color w:val="000000" w:themeColor="text1"/>
          <w:kern w:val="2"/>
          <w:sz w:val="24"/>
          <w:szCs w:val="24"/>
          <w:highlight w:val="none"/>
          <w14:textFill>
            <w14:solidFill>
              <w14:schemeClr w14:val="tx1"/>
            </w14:solidFill>
          </w14:textFill>
        </w:rPr>
        <w:t>涉及国家利益、社会公共利益的情形</w:t>
      </w:r>
    </w:p>
    <w:p w14:paraId="0C639D89">
      <w:pPr>
        <w:pStyle w:val="77"/>
        <w:snapToGrid w:val="0"/>
        <w:spacing w:line="360" w:lineRule="auto"/>
        <w:ind w:firstLine="480"/>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649F5A59">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17. 合同分包</w:t>
      </w:r>
    </w:p>
    <w:p w14:paraId="5059F068">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17.1 乙方不得将合同转包给其他供应商。涉及合同分包的，乙方应根据采购文件和投标（响应）文件规定进行合同分包。</w:t>
      </w:r>
    </w:p>
    <w:p w14:paraId="2568AB16">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3B7834A6">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18. 不可抗力</w:t>
      </w:r>
    </w:p>
    <w:p w14:paraId="0D888CFD">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18.1 不可抗力是指合同双方不能预见、不能避免且不能克服的客观情况。</w:t>
      </w:r>
    </w:p>
    <w:p w14:paraId="4A9580BB">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64784FF6">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6A07BE3">
      <w:pPr>
        <w:autoSpaceDE w:val="0"/>
        <w:autoSpaceDN w:val="0"/>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19. 解决争议的方法</w:t>
      </w:r>
    </w:p>
    <w:p w14:paraId="05BDA669">
      <w:pPr>
        <w:pStyle w:val="77"/>
        <w:snapToGrid w:val="0"/>
        <w:spacing w:line="360" w:lineRule="auto"/>
        <w:ind w:firstLine="480"/>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57A5AFD5">
      <w:pPr>
        <w:pStyle w:val="77"/>
        <w:snapToGrid w:val="0"/>
        <w:spacing w:line="360" w:lineRule="auto"/>
        <w:ind w:firstLine="480"/>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19.2 选择仲裁的，应在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中明确仲裁机构及仲裁地；通过诉讼方式解决的，可以在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0A57663C">
      <w:pPr>
        <w:pStyle w:val="77"/>
        <w:snapToGrid w:val="0"/>
        <w:spacing w:line="360" w:lineRule="auto"/>
        <w:ind w:firstLine="480"/>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19.3 如甲乙双方有争议的事项不影响合同其他部分的履行，在争议解决期间，合同其他部分应当继续履行。</w:t>
      </w:r>
    </w:p>
    <w:p w14:paraId="55F9B5D5">
      <w:pPr>
        <w:autoSpaceDE w:val="0"/>
        <w:autoSpaceDN w:val="0"/>
        <w:adjustRightInd w:val="0"/>
        <w:snapToGrid w:val="0"/>
        <w:spacing w:line="360" w:lineRule="auto"/>
        <w:ind w:firstLine="482" w:firstLineChars="200"/>
        <w:jc w:val="left"/>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20. 政府采购政策</w:t>
      </w:r>
    </w:p>
    <w:p w14:paraId="67C18265">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20.1 </w:t>
      </w:r>
      <w:r>
        <w:rPr>
          <w:color w:val="000000" w:themeColor="text1"/>
          <w:sz w:val="24"/>
          <w:szCs w:val="24"/>
          <w:highlight w:val="none"/>
          <w:lang w:val="en-GB"/>
          <w14:textFill>
            <w14:solidFill>
              <w14:schemeClr w14:val="tx1"/>
            </w14:solidFill>
          </w14:textFill>
        </w:rPr>
        <w:t>本合同应当按照规定执行政府采购政策。</w:t>
      </w:r>
    </w:p>
    <w:p w14:paraId="05B44A9D">
      <w:pPr>
        <w:autoSpaceDE w:val="0"/>
        <w:autoSpaceDN w:val="0"/>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 本合同依法执行政府采购政策的方式和内容，属于合同履约验收的范围。甲乙双方</w:t>
      </w:r>
      <w:r>
        <w:rPr>
          <w:color w:val="000000" w:themeColor="text1"/>
          <w:sz w:val="24"/>
          <w:szCs w:val="24"/>
          <w:highlight w:val="none"/>
          <w:lang w:val="en-GB"/>
          <w14:textFill>
            <w14:solidFill>
              <w14:schemeClr w14:val="tx1"/>
            </w14:solidFill>
          </w14:textFill>
        </w:rPr>
        <w:t>未按规定要求执行政府采购政策造成损失的</w:t>
      </w:r>
      <w:r>
        <w:rPr>
          <w:color w:val="000000" w:themeColor="text1"/>
          <w:sz w:val="24"/>
          <w:szCs w:val="24"/>
          <w:highlight w:val="none"/>
          <w14:textFill>
            <w14:solidFill>
              <w14:schemeClr w14:val="tx1"/>
            </w14:solidFill>
          </w14:textFill>
        </w:rPr>
        <w:t>，有过错的一方应当承担赔偿责任，双方都有过错的，各自承担相应的责任。</w:t>
      </w:r>
    </w:p>
    <w:p w14:paraId="709F2E6B">
      <w:pPr>
        <w:pStyle w:val="6"/>
        <w:adjustRightInd w:val="0"/>
        <w:snapToGrid w:val="0"/>
        <w:spacing w:after="0"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5C4A05B">
      <w:pPr>
        <w:autoSpaceDE w:val="0"/>
        <w:autoSpaceDN w:val="0"/>
        <w:adjustRightInd w:val="0"/>
        <w:snapToGrid w:val="0"/>
        <w:spacing w:line="360" w:lineRule="auto"/>
        <w:ind w:firstLine="482"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21. 法律适用</w:t>
      </w:r>
    </w:p>
    <w:p w14:paraId="034882AD">
      <w:pPr>
        <w:pStyle w:val="77"/>
        <w:snapToGrid w:val="0"/>
        <w:spacing w:line="360" w:lineRule="auto"/>
        <w:ind w:firstLine="480"/>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21.1 本合同的订立、生效、解释、履行及与本合同有关的争议解决，均适用法律、行政法规。</w:t>
      </w:r>
    </w:p>
    <w:p w14:paraId="0FC9E27E">
      <w:pPr>
        <w:pStyle w:val="77"/>
        <w:snapToGrid w:val="0"/>
        <w:spacing w:line="360" w:lineRule="auto"/>
        <w:ind w:firstLine="480"/>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4F02C5BB">
      <w:pPr>
        <w:autoSpaceDE w:val="0"/>
        <w:autoSpaceDN w:val="0"/>
        <w:adjustRightInd w:val="0"/>
        <w:snapToGrid w:val="0"/>
        <w:spacing w:line="360" w:lineRule="auto"/>
        <w:ind w:firstLine="482"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22. 通知</w:t>
      </w:r>
    </w:p>
    <w:p w14:paraId="38686C21">
      <w:pPr>
        <w:pStyle w:val="77"/>
        <w:snapToGrid w:val="0"/>
        <w:spacing w:line="360" w:lineRule="auto"/>
        <w:ind w:firstLine="480"/>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1908F59F">
      <w:pPr>
        <w:pStyle w:val="77"/>
        <w:snapToGrid w:val="0"/>
        <w:spacing w:line="360" w:lineRule="auto"/>
        <w:ind w:firstLine="480"/>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07C3A11E">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22.3本合同一方给另一方的通知均应采用书面形式，传真或快递送到本合同中规定的对方的地址和办理签收手续。</w:t>
      </w:r>
    </w:p>
    <w:p w14:paraId="7708B2E5">
      <w:pPr>
        <w:adjustRightInd w:val="0"/>
        <w:snapToGrid w:val="0"/>
        <w:spacing w:line="360" w:lineRule="auto"/>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22.4通知以送达之日或通知书中规定的生效之日起生效，两者中以较迟之日为准。</w:t>
      </w:r>
    </w:p>
    <w:p w14:paraId="23C3E178">
      <w:pPr>
        <w:numPr>
          <w:ilvl w:val="0"/>
          <w:numId w:val="7"/>
        </w:numPr>
        <w:adjustRightInd w:val="0"/>
        <w:snapToGrid w:val="0"/>
        <w:spacing w:line="360" w:lineRule="auto"/>
        <w:ind w:firstLine="482"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合同未尽事项</w:t>
      </w:r>
    </w:p>
    <w:p w14:paraId="2CAD9030">
      <w:pPr>
        <w:adjustRightInd w:val="0"/>
        <w:snapToGrid w:val="0"/>
        <w:spacing w:line="360" w:lineRule="auto"/>
        <w:ind w:firstLine="480"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23.1合同未尽事项见</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w:t>
      </w:r>
    </w:p>
    <w:p w14:paraId="198141E1">
      <w:pPr>
        <w:adjustRightInd w:val="0"/>
        <w:snapToGrid w:val="0"/>
        <w:spacing w:line="360" w:lineRule="auto"/>
        <w:ind w:firstLine="480" w:firstLineChars="200"/>
        <w:jc w:val="left"/>
        <w:rPr>
          <w:rFonts w:eastAsia="黑体"/>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23.2 合同附件与合同正文具有同等的法律效力。</w:t>
      </w:r>
      <w:bookmarkStart w:id="12" w:name="_Toc20313"/>
    </w:p>
    <w:p w14:paraId="0EC9104F">
      <w:pPr>
        <w:adjustRightInd w:val="0"/>
        <w:snapToGrid w:val="0"/>
        <w:jc w:val="center"/>
        <w:rPr>
          <w:rFonts w:eastAsia="黑体"/>
          <w:color w:val="000000" w:themeColor="text1"/>
          <w:sz w:val="28"/>
          <w:szCs w:val="28"/>
          <w:highlight w:val="none"/>
          <w14:textFill>
            <w14:solidFill>
              <w14:schemeClr w14:val="tx1"/>
            </w14:solidFill>
          </w14:textFill>
        </w:rPr>
      </w:pPr>
    </w:p>
    <w:p w14:paraId="528369AF">
      <w:pPr>
        <w:adjustRightInd w:val="0"/>
        <w:snapToGrid w:val="0"/>
        <w:jc w:val="center"/>
        <w:rPr>
          <w:rFonts w:eastAsia="黑体"/>
          <w:color w:val="000000" w:themeColor="text1"/>
          <w:sz w:val="28"/>
          <w:szCs w:val="28"/>
          <w:highlight w:val="none"/>
          <w14:textFill>
            <w14:solidFill>
              <w14:schemeClr w14:val="tx1"/>
            </w14:solidFill>
          </w14:textFill>
        </w:rPr>
      </w:pPr>
    </w:p>
    <w:p w14:paraId="167A4740">
      <w:pPr>
        <w:adjustRightInd w:val="0"/>
        <w:snapToGrid w:val="0"/>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br w:type="page"/>
      </w:r>
    </w:p>
    <w:p w14:paraId="6C0C3292">
      <w:pPr>
        <w:pStyle w:val="2"/>
        <w:adjustRightInd w:val="0"/>
        <w:snapToGrid w:val="0"/>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第三节 政府采购合同专用条款</w:t>
      </w:r>
      <w:bookmarkEnd w:id="12"/>
    </w:p>
    <w:tbl>
      <w:tblPr>
        <w:tblStyle w:val="17"/>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280399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2AFD007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7072DE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7978762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1D5A3081">
            <w:pPr>
              <w:adjustRightInd w:val="0"/>
              <w:snapToGrid w:val="0"/>
              <w:jc w:val="left"/>
              <w:rPr>
                <w:color w:val="000000" w:themeColor="text1"/>
                <w:szCs w:val="21"/>
                <w:highlight w:val="none"/>
                <w14:textFill>
                  <w14:solidFill>
                    <w14:schemeClr w14:val="tx1"/>
                  </w14:solidFill>
                </w14:textFill>
              </w:rPr>
            </w:pPr>
          </w:p>
        </w:tc>
      </w:tr>
      <w:tr w14:paraId="57A3C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2D22FA1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31E217D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49BA06E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00A867D3">
            <w:pPr>
              <w:adjustRightInd w:val="0"/>
              <w:snapToGrid w:val="0"/>
              <w:jc w:val="left"/>
              <w:rPr>
                <w:color w:val="000000" w:themeColor="text1"/>
                <w:szCs w:val="21"/>
                <w:highlight w:val="none"/>
                <w14:textFill>
                  <w14:solidFill>
                    <w14:schemeClr w14:val="tx1"/>
                  </w14:solidFill>
                </w14:textFill>
              </w:rPr>
            </w:pPr>
          </w:p>
        </w:tc>
      </w:tr>
      <w:tr w14:paraId="5D35D7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0F73D0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7EC810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771E69FD">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64D5128F">
            <w:pPr>
              <w:adjustRightInd w:val="0"/>
              <w:snapToGrid w:val="0"/>
              <w:jc w:val="left"/>
              <w:rPr>
                <w:color w:val="000000" w:themeColor="text1"/>
                <w:szCs w:val="21"/>
                <w:highlight w:val="none"/>
                <w14:textFill>
                  <w14:solidFill>
                    <w14:schemeClr w14:val="tx1"/>
                  </w14:solidFill>
                </w14:textFill>
              </w:rPr>
            </w:pPr>
          </w:p>
        </w:tc>
      </w:tr>
      <w:tr w14:paraId="6B6145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592BA7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909026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09AD53A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96DFBC9">
            <w:pPr>
              <w:adjustRightInd w:val="0"/>
              <w:snapToGrid w:val="0"/>
              <w:jc w:val="left"/>
              <w:rPr>
                <w:color w:val="000000" w:themeColor="text1"/>
                <w:szCs w:val="21"/>
                <w:highlight w:val="none"/>
                <w14:textFill>
                  <w14:solidFill>
                    <w14:schemeClr w14:val="tx1"/>
                  </w14:solidFill>
                </w14:textFill>
              </w:rPr>
            </w:pPr>
          </w:p>
        </w:tc>
      </w:tr>
      <w:tr w14:paraId="43B07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DC6809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3408CA8">
            <w:pPr>
              <w:snapToGrid w:val="0"/>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2E60D469">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53C18FA4">
            <w:pPr>
              <w:adjustRightInd w:val="0"/>
              <w:snapToGrid w:val="0"/>
              <w:jc w:val="left"/>
              <w:rPr>
                <w:color w:val="000000" w:themeColor="text1"/>
                <w:szCs w:val="21"/>
                <w:highlight w:val="none"/>
                <w14:textFill>
                  <w14:solidFill>
                    <w14:schemeClr w14:val="tx1"/>
                  </w14:solidFill>
                </w14:textFill>
              </w:rPr>
            </w:pPr>
          </w:p>
        </w:tc>
      </w:tr>
      <w:tr w14:paraId="1D943C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4946AD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CD2E18B">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31235083">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32D48237">
            <w:pPr>
              <w:adjustRightInd w:val="0"/>
              <w:snapToGrid w:val="0"/>
              <w:jc w:val="left"/>
              <w:rPr>
                <w:color w:val="000000" w:themeColor="text1"/>
                <w:szCs w:val="21"/>
                <w:highlight w:val="none"/>
                <w14:textFill>
                  <w14:solidFill>
                    <w14:schemeClr w14:val="tx1"/>
                  </w14:solidFill>
                </w14:textFill>
              </w:rPr>
            </w:pPr>
          </w:p>
        </w:tc>
      </w:tr>
      <w:tr w14:paraId="490BB2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5AE35BB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F415BC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696BEB1D">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6C27AC59">
            <w:pPr>
              <w:rPr>
                <w:color w:val="000000" w:themeColor="text1"/>
                <w:szCs w:val="24"/>
                <w:highlight w:val="none"/>
                <w14:textFill>
                  <w14:solidFill>
                    <w14:schemeClr w14:val="tx1"/>
                  </w14:solidFill>
                </w14:textFill>
              </w:rPr>
            </w:pPr>
          </w:p>
        </w:tc>
      </w:tr>
      <w:tr w14:paraId="1266C1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60DE7A09">
            <w:pPr>
              <w:widowControl/>
              <w:jc w:val="left"/>
              <w:rPr>
                <w:color w:val="000000" w:themeColor="text1"/>
                <w:szCs w:val="21"/>
                <w:highlight w:val="none"/>
                <w14:textFill>
                  <w14:solidFill>
                    <w14:schemeClr w14:val="tx1"/>
                  </w14:solidFill>
                </w14:textFill>
              </w:rPr>
            </w:pPr>
          </w:p>
        </w:tc>
        <w:tc>
          <w:tcPr>
            <w:tcW w:w="1742" w:type="dxa"/>
            <w:tcBorders>
              <w:top w:val="single" w:color="auto" w:sz="6" w:space="0"/>
              <w:left w:val="single" w:color="auto" w:sz="6" w:space="0"/>
              <w:bottom w:val="single" w:color="auto" w:sz="6" w:space="0"/>
              <w:right w:val="single" w:color="auto" w:sz="6" w:space="0"/>
            </w:tcBorders>
            <w:vAlign w:val="center"/>
          </w:tcPr>
          <w:p w14:paraId="51FC9B36">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62DB4EB1">
            <w:pPr>
              <w:rPr>
                <w:color w:val="000000" w:themeColor="text1"/>
                <w:szCs w:val="24"/>
                <w:highlight w:val="none"/>
                <w14:textFill>
                  <w14:solidFill>
                    <w14:schemeClr w14:val="tx1"/>
                  </w14:solidFill>
                </w14:textFill>
              </w:rPr>
            </w:pPr>
          </w:p>
        </w:tc>
      </w:tr>
      <w:tr w14:paraId="09CB01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0B1E20F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DE36C6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38C2D95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2618358C">
            <w:pPr>
              <w:rPr>
                <w:color w:val="000000" w:themeColor="text1"/>
                <w:szCs w:val="24"/>
                <w:highlight w:val="none"/>
                <w14:textFill>
                  <w14:solidFill>
                    <w14:schemeClr w14:val="tx1"/>
                  </w14:solidFill>
                </w14:textFill>
              </w:rPr>
            </w:pPr>
          </w:p>
        </w:tc>
      </w:tr>
      <w:tr w14:paraId="36B85D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4BF2E96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0F0939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685B082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0753D8FF">
            <w:pPr>
              <w:rPr>
                <w:color w:val="000000" w:themeColor="text1"/>
                <w:szCs w:val="24"/>
                <w:highlight w:val="none"/>
                <w14:textFill>
                  <w14:solidFill>
                    <w14:schemeClr w14:val="tx1"/>
                  </w14:solidFill>
                </w14:textFill>
              </w:rPr>
            </w:pPr>
          </w:p>
        </w:tc>
      </w:tr>
      <w:tr w14:paraId="3A770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9E96C1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AE4C35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6525B1C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7222C1F0">
            <w:pPr>
              <w:autoSpaceDE w:val="0"/>
              <w:autoSpaceDN w:val="0"/>
              <w:adjustRightInd w:val="0"/>
              <w:snapToGrid w:val="0"/>
              <w:ind w:firstLine="420" w:firstLineChars="200"/>
              <w:jc w:val="left"/>
              <w:rPr>
                <w:color w:val="000000" w:themeColor="text1"/>
                <w:szCs w:val="21"/>
                <w:highlight w:val="none"/>
                <w14:textFill>
                  <w14:solidFill>
                    <w14:schemeClr w14:val="tx1"/>
                  </w14:solidFill>
                </w14:textFill>
              </w:rPr>
            </w:pPr>
          </w:p>
        </w:tc>
      </w:tr>
      <w:tr w14:paraId="50F2E7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2F1CDB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16D086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1EE8DA26">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货物质量缺陷</w:t>
            </w:r>
          </w:p>
          <w:p w14:paraId="6605B626">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0429C18D">
            <w:pPr>
              <w:adjustRightInd w:val="0"/>
              <w:snapToGrid w:val="0"/>
              <w:jc w:val="left"/>
              <w:rPr>
                <w:color w:val="000000" w:themeColor="text1"/>
                <w:szCs w:val="21"/>
                <w:highlight w:val="none"/>
                <w14:textFill>
                  <w14:solidFill>
                    <w14:schemeClr w14:val="tx1"/>
                  </w14:solidFill>
                </w14:textFill>
              </w:rPr>
            </w:pPr>
          </w:p>
        </w:tc>
      </w:tr>
      <w:tr w14:paraId="6B4F1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1A2838D">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29D6482">
            <w:pPr>
              <w:pStyle w:val="77"/>
              <w:ind w:firstLine="0" w:firstLineChars="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0B25901E">
            <w:pPr>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3B168DEA">
            <w:pPr>
              <w:adjustRightInd w:val="0"/>
              <w:snapToGrid w:val="0"/>
              <w:jc w:val="left"/>
              <w:rPr>
                <w:color w:val="000000" w:themeColor="text1"/>
                <w:szCs w:val="21"/>
                <w:highlight w:val="none"/>
                <w14:textFill>
                  <w14:solidFill>
                    <w14:schemeClr w14:val="tx1"/>
                  </w14:solidFill>
                </w14:textFill>
              </w:rPr>
            </w:pPr>
          </w:p>
        </w:tc>
      </w:tr>
      <w:tr w14:paraId="049BA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4BD7D6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48106C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64EDCDC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11FBD15E">
            <w:pPr>
              <w:adjustRightInd w:val="0"/>
              <w:snapToGrid w:val="0"/>
              <w:jc w:val="left"/>
              <w:rPr>
                <w:color w:val="000000" w:themeColor="text1"/>
                <w:szCs w:val="21"/>
                <w:highlight w:val="none"/>
                <w14:textFill>
                  <w14:solidFill>
                    <w14:schemeClr w14:val="tx1"/>
                  </w14:solidFill>
                </w14:textFill>
              </w:rPr>
            </w:pPr>
          </w:p>
        </w:tc>
      </w:tr>
      <w:tr w14:paraId="29ABFB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63135CC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8DC429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34F2BEEB">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F931C27">
            <w:pPr>
              <w:adjustRightInd w:val="0"/>
              <w:snapToGrid w:val="0"/>
              <w:jc w:val="left"/>
              <w:rPr>
                <w:color w:val="000000" w:themeColor="text1"/>
                <w:szCs w:val="21"/>
                <w:highlight w:val="none"/>
                <w14:textFill>
                  <w14:solidFill>
                    <w14:schemeClr w14:val="tx1"/>
                  </w14:solidFill>
                </w14:textFill>
              </w:rPr>
            </w:pPr>
          </w:p>
        </w:tc>
      </w:tr>
      <w:tr w14:paraId="5673B6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5E5F10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15D8D0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1CF8822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04A559D3">
            <w:pPr>
              <w:adjustRightInd w:val="0"/>
              <w:snapToGrid w:val="0"/>
              <w:jc w:val="left"/>
              <w:rPr>
                <w:color w:val="000000" w:themeColor="text1"/>
                <w:szCs w:val="21"/>
                <w:highlight w:val="none"/>
                <w14:textFill>
                  <w14:solidFill>
                    <w14:schemeClr w14:val="tx1"/>
                  </w14:solidFill>
                </w14:textFill>
              </w:rPr>
            </w:pPr>
          </w:p>
        </w:tc>
      </w:tr>
      <w:tr w14:paraId="21AE4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03553C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8DB2C0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5B35716B">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2C4D0464">
            <w:pPr>
              <w:adjustRightInd w:val="0"/>
              <w:snapToGrid w:val="0"/>
              <w:jc w:val="left"/>
              <w:rPr>
                <w:color w:val="000000" w:themeColor="text1"/>
                <w:szCs w:val="21"/>
                <w:highlight w:val="none"/>
                <w14:textFill>
                  <w14:solidFill>
                    <w14:schemeClr w14:val="tx1"/>
                  </w14:solidFill>
                </w14:textFill>
              </w:rPr>
            </w:pPr>
          </w:p>
        </w:tc>
      </w:tr>
      <w:tr w14:paraId="460A5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5EA4A9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83C921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46BE6E20">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1293AAC1">
            <w:pPr>
              <w:adjustRightInd w:val="0"/>
              <w:snapToGrid w:val="0"/>
              <w:jc w:val="left"/>
              <w:rPr>
                <w:color w:val="000000" w:themeColor="text1"/>
                <w:szCs w:val="21"/>
                <w:highlight w:val="none"/>
                <w14:textFill>
                  <w14:solidFill>
                    <w14:schemeClr w14:val="tx1"/>
                  </w14:solidFill>
                </w14:textFill>
              </w:rPr>
            </w:pPr>
          </w:p>
        </w:tc>
      </w:tr>
      <w:tr w14:paraId="17EA0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665DA0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C69264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48EEBB20">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098D9717">
            <w:pPr>
              <w:adjustRightInd w:val="0"/>
              <w:snapToGrid w:val="0"/>
              <w:jc w:val="left"/>
              <w:rPr>
                <w:color w:val="000000" w:themeColor="text1"/>
                <w:szCs w:val="21"/>
                <w:highlight w:val="none"/>
                <w14:textFill>
                  <w14:solidFill>
                    <w14:schemeClr w14:val="tx1"/>
                  </w14:solidFill>
                </w14:textFill>
              </w:rPr>
            </w:pPr>
          </w:p>
        </w:tc>
      </w:tr>
      <w:tr w14:paraId="6CF07D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803737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772110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3E03D6C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3452F0E6">
            <w:pPr>
              <w:adjustRightInd w:val="0"/>
              <w:snapToGrid w:val="0"/>
              <w:jc w:val="left"/>
              <w:rPr>
                <w:color w:val="000000" w:themeColor="text1"/>
                <w:szCs w:val="21"/>
                <w:highlight w:val="none"/>
                <w14:textFill>
                  <w14:solidFill>
                    <w14:schemeClr w14:val="tx1"/>
                  </w14:solidFill>
                </w14:textFill>
              </w:rPr>
            </w:pPr>
          </w:p>
        </w:tc>
      </w:tr>
      <w:tr w14:paraId="6403D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102B87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06BF64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08D34F4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2D95B9C1">
            <w:pPr>
              <w:adjustRightInd w:val="0"/>
              <w:snapToGrid w:val="0"/>
              <w:jc w:val="left"/>
              <w:rPr>
                <w:color w:val="000000" w:themeColor="text1"/>
                <w:szCs w:val="21"/>
                <w:highlight w:val="none"/>
                <w:u w:val="single"/>
                <w14:textFill>
                  <w14:solidFill>
                    <w14:schemeClr w14:val="tx1"/>
                  </w14:solidFill>
                </w14:textFill>
              </w:rPr>
            </w:pPr>
          </w:p>
        </w:tc>
      </w:tr>
      <w:tr w14:paraId="0CDA1F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31649FD">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92111D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54B5BE38">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5B4F50C3">
            <w:pPr>
              <w:adjustRightInd w:val="0"/>
              <w:snapToGrid w:val="0"/>
              <w:jc w:val="left"/>
              <w:rPr>
                <w:color w:val="000000" w:themeColor="text1"/>
                <w:szCs w:val="21"/>
                <w:highlight w:val="none"/>
                <w:u w:val="single"/>
                <w14:textFill>
                  <w14:solidFill>
                    <w14:schemeClr w14:val="tx1"/>
                  </w14:solidFill>
                </w14:textFill>
              </w:rPr>
            </w:pPr>
          </w:p>
        </w:tc>
      </w:tr>
      <w:tr w14:paraId="59770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26E4653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30BF8D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1D567F1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1A5567AD">
            <w:pPr>
              <w:adjustRightInd w:val="0"/>
              <w:snapToGrid w:val="0"/>
              <w:jc w:val="left"/>
              <w:rPr>
                <w:color w:val="000000" w:themeColor="text1"/>
                <w:szCs w:val="21"/>
                <w:highlight w:val="none"/>
                <w:u w:val="single"/>
                <w14:textFill>
                  <w14:solidFill>
                    <w14:schemeClr w14:val="tx1"/>
                  </w14:solidFill>
                </w14:textFill>
              </w:rPr>
            </w:pPr>
          </w:p>
        </w:tc>
      </w:tr>
      <w:tr w14:paraId="6E59D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46BB03A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F889E7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73367C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5A207057">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因本合同及合同有关事项发生的争议，按下列第</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种方式解决：</w:t>
            </w:r>
          </w:p>
          <w:p w14:paraId="2982A4E8">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（1）向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仲裁委员会申请仲裁，仲裁地点为</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w:t>
            </w:r>
          </w:p>
          <w:p w14:paraId="13FD0FF5">
            <w:pPr>
              <w:adjustRightInd w:val="0"/>
              <w:snapToGrid w:val="0"/>
              <w:jc w:val="left"/>
              <w:rPr>
                <w:color w:val="000000" w:themeColor="text1"/>
                <w:szCs w:val="21"/>
                <w:highlight w:val="none"/>
                <w:u w:val="single"/>
                <w14:textFill>
                  <w14:solidFill>
                    <w14:schemeClr w14:val="tx1"/>
                  </w14:solidFill>
                </w14:textFill>
              </w:rPr>
            </w:pPr>
            <w:r>
              <w:rPr>
                <w:iCs/>
                <w:color w:val="000000" w:themeColor="text1"/>
                <w:szCs w:val="21"/>
                <w:highlight w:val="none"/>
                <w14:textFill>
                  <w14:solidFill>
                    <w14:schemeClr w14:val="tx1"/>
                  </w14:solidFill>
                </w14:textFill>
              </w:rPr>
              <w:t>（2）向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人民法院起诉。</w:t>
            </w:r>
          </w:p>
        </w:tc>
      </w:tr>
      <w:tr w14:paraId="5CB72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08562C1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CE591D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3E17F29E">
            <w:pPr>
              <w:adjustRightInd w:val="0"/>
              <w:snapToGrid w:val="0"/>
              <w:jc w:val="left"/>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37C35C42">
            <w:pPr>
              <w:adjustRightInd w:val="0"/>
              <w:snapToGrid w:val="0"/>
              <w:jc w:val="left"/>
              <w:rPr>
                <w:color w:val="000000" w:themeColor="text1"/>
                <w:szCs w:val="21"/>
                <w:highlight w:val="none"/>
                <w14:textFill>
                  <w14:solidFill>
                    <w14:schemeClr w14:val="tx1"/>
                  </w14:solidFill>
                </w14:textFill>
              </w:rPr>
            </w:pPr>
          </w:p>
        </w:tc>
      </w:tr>
    </w:tbl>
    <w:p w14:paraId="7961AD61">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33456105">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07A7BD2F">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02EF2A3C">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8" w:type="default"/>
          <w:pgSz w:w="11906" w:h="16838"/>
          <w:pgMar w:top="1440" w:right="1800" w:bottom="1440" w:left="1800" w:header="851" w:footer="992" w:gutter="0"/>
          <w:cols w:space="720" w:num="1"/>
          <w:docGrid w:type="lines" w:linePitch="312" w:charSpace="0"/>
        </w:sectPr>
      </w:pPr>
    </w:p>
    <w:p w14:paraId="3BE97BF5">
      <w:pPr>
        <w:pStyle w:val="3"/>
        <w:jc w:val="center"/>
        <w:rPr>
          <w:color w:val="000000" w:themeColor="text1"/>
          <w:highlight w:val="none"/>
          <w14:textFill>
            <w14:solidFill>
              <w14:schemeClr w14:val="tx1"/>
            </w14:solidFill>
          </w14:textFill>
        </w:rPr>
      </w:pPr>
      <w:bookmarkStart w:id="13" w:name="_Toc411426753"/>
      <w:r>
        <w:rPr>
          <w:color w:val="000000" w:themeColor="text1"/>
          <w:highlight w:val="none"/>
          <w14:textFill>
            <w14:solidFill>
              <w14:schemeClr w14:val="tx1"/>
            </w14:solidFill>
          </w14:textFill>
        </w:rPr>
        <w:t>第五部分  响应文件格式</w:t>
      </w:r>
      <w:bookmarkEnd w:id="13"/>
    </w:p>
    <w:p w14:paraId="074527F2">
      <w:pPr>
        <w:autoSpaceDE w:val="0"/>
        <w:autoSpaceDN w:val="0"/>
        <w:adjustRightInd w:val="0"/>
        <w:spacing w:line="520" w:lineRule="exact"/>
        <w:rPr>
          <w:b/>
          <w:color w:val="000000" w:themeColor="text1"/>
          <w:kern w:val="0"/>
          <w:sz w:val="24"/>
          <w:highlight w:val="none"/>
          <w:lang w:val="zh-CN"/>
          <w14:textFill>
            <w14:solidFill>
              <w14:schemeClr w14:val="tx1"/>
            </w14:solidFill>
          </w14:textFill>
        </w:rPr>
      </w:pPr>
    </w:p>
    <w:p w14:paraId="031A1C66">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1BC03259">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xml:space="preserve">（ </w:t>
      </w:r>
      <w:r>
        <w:rPr>
          <w:rFonts w:hint="eastAsia" w:eastAsia="楷体_GB2312"/>
          <w:b/>
          <w:color w:val="000000" w:themeColor="text1"/>
          <w:kern w:val="0"/>
          <w:sz w:val="36"/>
          <w:szCs w:val="36"/>
          <w:highlight w:val="none"/>
          <w14:textFill>
            <w14:solidFill>
              <w14:schemeClr w14:val="tx1"/>
            </w14:solidFill>
          </w14:textFill>
        </w:rPr>
        <w:t>加盖电子签章</w:t>
      </w:r>
      <w:r>
        <w:rPr>
          <w:rFonts w:eastAsia="楷体_GB2312"/>
          <w:b/>
          <w:color w:val="000000" w:themeColor="text1"/>
          <w:kern w:val="0"/>
          <w:sz w:val="36"/>
          <w:szCs w:val="36"/>
          <w:highlight w:val="none"/>
          <w14:textFill>
            <w14:solidFill>
              <w14:schemeClr w14:val="tx1"/>
            </w14:solidFill>
          </w14:textFill>
        </w:rPr>
        <w:t xml:space="preserve"> ）</w:t>
      </w:r>
    </w:p>
    <w:p w14:paraId="37584A24">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51210E56">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w:t>
      </w:r>
      <w:r>
        <w:rPr>
          <w:rFonts w:hint="eastAsia"/>
          <w:b/>
          <w:color w:val="000000" w:themeColor="text1"/>
          <w:kern w:val="0"/>
          <w:sz w:val="24"/>
          <w:highlight w:val="none"/>
          <w14:textFill>
            <w14:solidFill>
              <w14:schemeClr w14:val="tx1"/>
            </w14:solidFill>
          </w14:textFill>
        </w:rPr>
        <w:t>响应</w:t>
      </w:r>
      <w:r>
        <w:rPr>
          <w:b/>
          <w:color w:val="000000" w:themeColor="text1"/>
          <w:kern w:val="0"/>
          <w:sz w:val="24"/>
          <w:highlight w:val="none"/>
          <w14:textFill>
            <w14:solidFill>
              <w14:schemeClr w14:val="tx1"/>
            </w14:solidFill>
          </w14:textFill>
        </w:rPr>
        <w:t>文件</w:t>
      </w:r>
    </w:p>
    <w:p w14:paraId="7C2FC91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50434F8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414DC5FB">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5FB0F7E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所 投 包 号：</w:t>
      </w:r>
    </w:p>
    <w:p w14:paraId="23239BA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28175918">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法定代表人姓名：</w:t>
      </w:r>
    </w:p>
    <w:p w14:paraId="22C1B82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磋商代表人姓名：</w:t>
      </w:r>
    </w:p>
    <w:p w14:paraId="7CC1654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225699AD">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6F524FB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43C8554D">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第一阶段</w:t>
      </w:r>
      <w:r>
        <w:rPr>
          <w:rFonts w:hint="eastAsia"/>
          <w:b/>
          <w:bCs/>
          <w:color w:val="000000" w:themeColor="text1"/>
          <w:sz w:val="24"/>
          <w:highlight w:val="none"/>
          <w14:textFill>
            <w14:solidFill>
              <w14:schemeClr w14:val="tx1"/>
            </w14:solidFill>
          </w14:textFill>
        </w:rPr>
        <w:t>响应文件总目录</w:t>
      </w:r>
    </w:p>
    <w:p w14:paraId="777D4BB4">
      <w:pPr>
        <w:autoSpaceDN w:val="0"/>
        <w:spacing w:line="360" w:lineRule="auto"/>
        <w:jc w:val="center"/>
        <w:rPr>
          <w:b/>
          <w:bCs/>
          <w:color w:val="000000" w:themeColor="text1"/>
          <w:sz w:val="24"/>
          <w:highlight w:val="none"/>
          <w14:textFill>
            <w14:solidFill>
              <w14:schemeClr w14:val="tx1"/>
            </w14:solidFill>
          </w14:textFill>
        </w:rPr>
      </w:pPr>
    </w:p>
    <w:p w14:paraId="1CCE2557">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（供应商自行编制）</w:t>
      </w:r>
    </w:p>
    <w:p w14:paraId="2B7B3247">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评分因素及评标标准页码检索</w:t>
      </w:r>
    </w:p>
    <w:p w14:paraId="3044A60F">
      <w:pPr>
        <w:widowControl/>
        <w:spacing w:line="360" w:lineRule="auto"/>
        <w:jc w:val="center"/>
        <w:rPr>
          <w:b/>
          <w:color w:val="000000" w:themeColor="text1"/>
          <w:sz w:val="24"/>
          <w:highlight w:val="none"/>
          <w14:textFill>
            <w14:solidFill>
              <w14:schemeClr w14:val="tx1"/>
            </w14:solidFill>
          </w14:textFill>
        </w:rPr>
      </w:pPr>
    </w:p>
    <w:p w14:paraId="54A3663D">
      <w:pPr>
        <w:widowControl/>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（供应商按磋商文件“评分因素及评标标准”中除涉及价格的评分项外的每个评分项逐项列明页码）</w:t>
      </w:r>
    </w:p>
    <w:p w14:paraId="1B96155E">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67BE7D81">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14:paraId="11E1AD36">
      <w:pPr>
        <w:tabs>
          <w:tab w:val="left" w:pos="360"/>
        </w:tabs>
        <w:spacing w:line="560" w:lineRule="exact"/>
        <w:jc w:val="center"/>
        <w:rPr>
          <w:b/>
          <w:color w:val="000000" w:themeColor="text1"/>
          <w:sz w:val="24"/>
          <w:highlight w:val="none"/>
          <w14:textFill>
            <w14:solidFill>
              <w14:schemeClr w14:val="tx1"/>
            </w14:solidFill>
          </w14:textFill>
        </w:rPr>
      </w:pPr>
    </w:p>
    <w:p w14:paraId="19BEA0F3">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14:paraId="413143D3">
      <w:pPr>
        <w:autoSpaceDE w:val="0"/>
        <w:autoSpaceDN w:val="0"/>
        <w:adjustRightInd w:val="0"/>
        <w:spacing w:line="360" w:lineRule="auto"/>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邀请，签字代表</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网上应答及上传加盖电子签章的响应文件</w:t>
      </w:r>
      <w:r>
        <w:rPr>
          <w:color w:val="000000" w:themeColor="text1"/>
          <w:sz w:val="24"/>
          <w:highlight w:val="none"/>
          <w14:textFill>
            <w14:solidFill>
              <w14:schemeClr w14:val="tx1"/>
            </w14:solidFill>
          </w14:textFill>
        </w:rPr>
        <w:t>。</w:t>
      </w:r>
    </w:p>
    <w:p w14:paraId="1A03BC50">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14:paraId="1C5C078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w:t>
      </w:r>
      <w:r>
        <w:rPr>
          <w:color w:val="000000" w:themeColor="text1"/>
          <w:sz w:val="24"/>
          <w:highlight w:val="none"/>
          <w14:textFill>
            <w14:solidFill>
              <w14:schemeClr w14:val="tx1"/>
            </w14:solidFill>
          </w14:textFill>
        </w:rPr>
        <w:t>将按磋商文件的规定履行合同责任和义务。</w:t>
      </w:r>
    </w:p>
    <w:p w14:paraId="119A98C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72E48526">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我公司的磋商有效期为响应文件开启之日起60天。</w:t>
      </w:r>
    </w:p>
    <w:p w14:paraId="43D5081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我公司同意按照采购人、采购代理机构要求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，并声明响应文件及所提供的一切资料均真实有效。由于我公司提供资料不实而造成的责任和后果由我公司自行承担。</w:t>
      </w:r>
    </w:p>
    <w:p w14:paraId="5EA4ACA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 我公司保证所投产品来自合法的供货渠道，若成交，则有义务向采购人提供其需要的有效书面证明材料。如果提供非法渠道的商品，视为欺诈，并承担相关责任。</w:t>
      </w:r>
    </w:p>
    <w:p w14:paraId="6E8163E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4E1925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 我公司承诺完全符合《中华人民共和国政府采购法》、《中华人民共和国政府采购法实施条例》等法律法规规定，并随时接受采购人、采购代理机构的检查验证。</w:t>
      </w:r>
      <w:r>
        <w:rPr>
          <w:color w:val="000000" w:themeColor="text1"/>
          <w:sz w:val="24"/>
          <w:highlight w:val="none"/>
          <w14:textFill>
            <w14:solidFill>
              <w14:schemeClr w14:val="tx1"/>
            </w14:solidFill>
          </w14:textFill>
        </w:rPr>
        <w:t>在整个</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过程中，</w:t>
      </w:r>
      <w:r>
        <w:rPr>
          <w:rFonts w:hint="eastAsia"/>
          <w:color w:val="000000" w:themeColor="text1"/>
          <w:sz w:val="24"/>
          <w:highlight w:val="none"/>
          <w14:textFill>
            <w14:solidFill>
              <w14:schemeClr w14:val="tx1"/>
            </w14:solidFill>
          </w14:textFill>
        </w:rPr>
        <w:t>我公司</w:t>
      </w:r>
      <w:r>
        <w:rPr>
          <w:color w:val="000000" w:themeColor="text1"/>
          <w:sz w:val="24"/>
          <w:highlight w:val="none"/>
          <w14:textFill>
            <w14:solidFill>
              <w14:schemeClr w14:val="tx1"/>
            </w14:solidFill>
          </w14:textFill>
        </w:rPr>
        <w:t>若有违规行为，</w:t>
      </w:r>
      <w:r>
        <w:rPr>
          <w:rFonts w:hint="eastAsia"/>
          <w:color w:val="000000" w:themeColor="text1"/>
          <w:sz w:val="24"/>
          <w:highlight w:val="none"/>
          <w14:textFill>
            <w14:solidFill>
              <w14:schemeClr w14:val="tx1"/>
            </w14:solidFill>
          </w14:textFill>
        </w:rPr>
        <w:t>我公司完全接受</w:t>
      </w:r>
      <w:r>
        <w:rPr>
          <w:color w:val="000000" w:themeColor="text1"/>
          <w:sz w:val="24"/>
          <w:highlight w:val="none"/>
          <w14:textFill>
            <w14:solidFill>
              <w14:schemeClr w14:val="tx1"/>
            </w14:solidFill>
          </w14:textFill>
        </w:rPr>
        <w:t>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磋商文件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14:paraId="0CB716B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p>
    <w:p w14:paraId="66EEB2C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w:t>
      </w:r>
      <w:r>
        <w:rPr>
          <w:rFonts w:hint="eastAsia"/>
          <w:color w:val="000000" w:themeColor="text1"/>
          <w:sz w:val="24"/>
          <w:highlight w:val="none"/>
          <w14:textFill>
            <w14:solidFill>
              <w14:schemeClr w14:val="tx1"/>
            </w14:solidFill>
          </w14:textFill>
        </w:rPr>
        <w:t>成交</w:t>
      </w:r>
      <w:r>
        <w:rPr>
          <w:color w:val="000000" w:themeColor="text1"/>
          <w:sz w:val="24"/>
          <w:highlight w:val="none"/>
          <w14:textFill>
            <w14:solidFill>
              <w14:schemeClr w14:val="tx1"/>
            </w14:solidFill>
          </w14:textFill>
        </w:rPr>
        <w:t>，本承诺将成为合同不可分割的一部分，与合同具有同等的法律效力。</w:t>
      </w:r>
    </w:p>
    <w:p w14:paraId="6E4E8A9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 如违反上述承诺，我公司投标无效且接受相关部门依法作出的处罚，并承担通过“天津市政府采购网”等相关媒体予以公布的任何风险和责任。</w:t>
      </w:r>
    </w:p>
    <w:p w14:paraId="5628739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68E7378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09492CE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574D4A8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4B2FF880">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0A5D24D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325AF385">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663CFD9F">
      <w:pPr>
        <w:spacing w:line="360" w:lineRule="auto"/>
        <w:ind w:firstLine="480" w:firstLineChars="200"/>
        <w:rPr>
          <w:color w:val="000000" w:themeColor="text1"/>
          <w:sz w:val="24"/>
          <w:highlight w:val="none"/>
          <w14:textFill>
            <w14:solidFill>
              <w14:schemeClr w14:val="tx1"/>
            </w14:solidFill>
          </w14:textFill>
        </w:rPr>
      </w:pPr>
    </w:p>
    <w:p w14:paraId="4CDAA177">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7A7130D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636C77E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5341EA28">
      <w:pPr>
        <w:spacing w:line="360" w:lineRule="auto"/>
        <w:ind w:firstLine="4080" w:firstLineChars="1700"/>
        <w:rPr>
          <w:color w:val="000000" w:themeColor="text1"/>
          <w:sz w:val="24"/>
          <w:highlight w:val="none"/>
          <w14:textFill>
            <w14:solidFill>
              <w14:schemeClr w14:val="tx1"/>
            </w14:solidFill>
          </w14:textFill>
        </w:rPr>
      </w:pPr>
    </w:p>
    <w:p w14:paraId="22C0F4AC">
      <w:pPr>
        <w:spacing w:line="360" w:lineRule="auto"/>
        <w:ind w:firstLine="4080" w:firstLineChars="1700"/>
        <w:rPr>
          <w:color w:val="000000" w:themeColor="text1"/>
          <w:sz w:val="24"/>
          <w:highlight w:val="none"/>
          <w14:textFill>
            <w14:solidFill>
              <w14:schemeClr w14:val="tx1"/>
            </w14:solidFill>
          </w14:textFill>
        </w:rPr>
      </w:pPr>
    </w:p>
    <w:p w14:paraId="5F7732CA">
      <w:pPr>
        <w:spacing w:line="360" w:lineRule="auto"/>
        <w:ind w:firstLine="4080" w:firstLineChars="1700"/>
        <w:rPr>
          <w:color w:val="000000" w:themeColor="text1"/>
          <w:sz w:val="24"/>
          <w:highlight w:val="none"/>
          <w14:textFill>
            <w14:solidFill>
              <w14:schemeClr w14:val="tx1"/>
            </w14:solidFill>
          </w14:textFill>
        </w:rPr>
      </w:pPr>
    </w:p>
    <w:p w14:paraId="7AE45415">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247AAEA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18A19D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r>
        <w:rPr>
          <w:rFonts w:hint="eastAsia"/>
          <w:b/>
          <w:color w:val="000000" w:themeColor="text1"/>
          <w:sz w:val="24"/>
          <w:highlight w:val="none"/>
          <w14:textFill>
            <w14:solidFill>
              <w14:schemeClr w14:val="tx1"/>
            </w14:solidFill>
          </w14:textFill>
        </w:rPr>
        <w:t>-1</w:t>
      </w:r>
    </w:p>
    <w:p w14:paraId="7A0E7EFB">
      <w:pPr>
        <w:tabs>
          <w:tab w:val="left" w:pos="360"/>
        </w:tabs>
        <w:spacing w:line="560" w:lineRule="exact"/>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供应商资格要求证明文件</w:t>
      </w:r>
    </w:p>
    <w:p w14:paraId="192A6BA1">
      <w:pPr>
        <w:spacing w:line="460" w:lineRule="exact"/>
        <w:ind w:left="192"/>
        <w:rPr>
          <w:b/>
          <w:bCs/>
          <w:color w:val="000000" w:themeColor="text1"/>
          <w:sz w:val="24"/>
          <w:highlight w:val="none"/>
          <w14:textFill>
            <w14:solidFill>
              <w14:schemeClr w14:val="tx1"/>
            </w14:solidFill>
          </w14:textFill>
        </w:rPr>
      </w:pPr>
    </w:p>
    <w:p w14:paraId="0B6FD07D">
      <w:pPr>
        <w:spacing w:line="460" w:lineRule="exact"/>
        <w:ind w:left="192"/>
        <w:rPr>
          <w:b/>
          <w:bCs/>
          <w:color w:val="000000" w:themeColor="text1"/>
          <w:sz w:val="24"/>
          <w:highlight w:val="none"/>
          <w14:textFill>
            <w14:solidFill>
              <w14:schemeClr w14:val="tx1"/>
            </w14:solidFill>
          </w14:textFill>
        </w:rPr>
      </w:pPr>
    </w:p>
    <w:p w14:paraId="5B9E0C72">
      <w:pPr>
        <w:spacing w:line="460" w:lineRule="exact"/>
        <w:ind w:left="192"/>
        <w:rPr>
          <w:b/>
          <w:bCs/>
          <w:color w:val="000000" w:themeColor="text1"/>
          <w:sz w:val="24"/>
          <w:highlight w:val="none"/>
          <w14:textFill>
            <w14:solidFill>
              <w14:schemeClr w14:val="tx1"/>
            </w14:solidFill>
          </w14:textFill>
        </w:rPr>
      </w:pPr>
    </w:p>
    <w:p w14:paraId="595064BA">
      <w:pPr>
        <w:spacing w:line="460" w:lineRule="exact"/>
        <w:ind w:left="192"/>
        <w:rPr>
          <w:b/>
          <w:bCs/>
          <w:color w:val="000000" w:themeColor="text1"/>
          <w:sz w:val="24"/>
          <w:highlight w:val="none"/>
          <w14:textFill>
            <w14:solidFill>
              <w14:schemeClr w14:val="tx1"/>
            </w14:solidFill>
          </w14:textFill>
        </w:rPr>
      </w:pPr>
    </w:p>
    <w:p w14:paraId="7C352250">
      <w:pPr>
        <w:spacing w:line="460" w:lineRule="exact"/>
        <w:ind w:left="192"/>
        <w:rPr>
          <w:b/>
          <w:bCs/>
          <w:color w:val="000000" w:themeColor="text1"/>
          <w:sz w:val="24"/>
          <w:highlight w:val="none"/>
          <w14:textFill>
            <w14:solidFill>
              <w14:schemeClr w14:val="tx1"/>
            </w14:solidFill>
          </w14:textFill>
        </w:rPr>
      </w:pPr>
    </w:p>
    <w:p w14:paraId="1D7242BD">
      <w:pPr>
        <w:spacing w:line="460" w:lineRule="exact"/>
        <w:ind w:left="192"/>
        <w:rPr>
          <w:b/>
          <w:bCs/>
          <w:color w:val="000000" w:themeColor="text1"/>
          <w:sz w:val="24"/>
          <w:highlight w:val="none"/>
          <w14:textFill>
            <w14:solidFill>
              <w14:schemeClr w14:val="tx1"/>
            </w14:solidFill>
          </w14:textFill>
        </w:rPr>
      </w:pPr>
    </w:p>
    <w:p w14:paraId="437700E3">
      <w:pPr>
        <w:spacing w:line="460" w:lineRule="exact"/>
        <w:ind w:left="192"/>
        <w:rPr>
          <w:b/>
          <w:bCs/>
          <w:color w:val="000000" w:themeColor="text1"/>
          <w:sz w:val="24"/>
          <w:highlight w:val="none"/>
          <w14:textFill>
            <w14:solidFill>
              <w14:schemeClr w14:val="tx1"/>
            </w14:solidFill>
          </w14:textFill>
        </w:rPr>
      </w:pPr>
    </w:p>
    <w:p w14:paraId="4769CF18">
      <w:pPr>
        <w:spacing w:line="460" w:lineRule="exact"/>
        <w:ind w:left="192"/>
        <w:rPr>
          <w:b/>
          <w:bCs/>
          <w:color w:val="000000" w:themeColor="text1"/>
          <w:sz w:val="24"/>
          <w:highlight w:val="none"/>
          <w14:textFill>
            <w14:solidFill>
              <w14:schemeClr w14:val="tx1"/>
            </w14:solidFill>
          </w14:textFill>
        </w:rPr>
      </w:pPr>
    </w:p>
    <w:p w14:paraId="413AA243">
      <w:pPr>
        <w:spacing w:line="460" w:lineRule="exact"/>
        <w:ind w:left="192"/>
        <w:rPr>
          <w:b/>
          <w:bCs/>
          <w:color w:val="000000" w:themeColor="text1"/>
          <w:sz w:val="24"/>
          <w:highlight w:val="none"/>
          <w14:textFill>
            <w14:solidFill>
              <w14:schemeClr w14:val="tx1"/>
            </w14:solidFill>
          </w14:textFill>
        </w:rPr>
      </w:pPr>
    </w:p>
    <w:p w14:paraId="016FB651">
      <w:pPr>
        <w:spacing w:line="460" w:lineRule="exact"/>
        <w:ind w:left="192"/>
        <w:rPr>
          <w:b/>
          <w:bCs/>
          <w:color w:val="000000" w:themeColor="text1"/>
          <w:sz w:val="24"/>
          <w:highlight w:val="none"/>
          <w14:textFill>
            <w14:solidFill>
              <w14:schemeClr w14:val="tx1"/>
            </w14:solidFill>
          </w14:textFill>
        </w:rPr>
      </w:pPr>
    </w:p>
    <w:p w14:paraId="35B1E9F7">
      <w:pPr>
        <w:spacing w:line="460" w:lineRule="exact"/>
        <w:ind w:left="192"/>
        <w:rPr>
          <w:b/>
          <w:bCs/>
          <w:color w:val="000000" w:themeColor="text1"/>
          <w:sz w:val="24"/>
          <w:highlight w:val="none"/>
          <w14:textFill>
            <w14:solidFill>
              <w14:schemeClr w14:val="tx1"/>
            </w14:solidFill>
          </w14:textFill>
        </w:rPr>
      </w:pPr>
    </w:p>
    <w:p w14:paraId="0569667A">
      <w:pPr>
        <w:spacing w:line="460" w:lineRule="exact"/>
        <w:ind w:left="192"/>
        <w:rPr>
          <w:b/>
          <w:bCs/>
          <w:color w:val="000000" w:themeColor="text1"/>
          <w:sz w:val="24"/>
          <w:highlight w:val="none"/>
          <w14:textFill>
            <w14:solidFill>
              <w14:schemeClr w14:val="tx1"/>
            </w14:solidFill>
          </w14:textFill>
        </w:rPr>
      </w:pPr>
    </w:p>
    <w:p w14:paraId="378D08AC">
      <w:pPr>
        <w:spacing w:line="460" w:lineRule="exact"/>
        <w:ind w:left="192"/>
        <w:rPr>
          <w:b/>
          <w:bCs/>
          <w:color w:val="000000" w:themeColor="text1"/>
          <w:sz w:val="24"/>
          <w:highlight w:val="none"/>
          <w14:textFill>
            <w14:solidFill>
              <w14:schemeClr w14:val="tx1"/>
            </w14:solidFill>
          </w14:textFill>
        </w:rPr>
      </w:pPr>
    </w:p>
    <w:p w14:paraId="38928AB9">
      <w:pPr>
        <w:spacing w:line="460" w:lineRule="exact"/>
        <w:ind w:left="192"/>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68E0A5AF">
      <w:pPr>
        <w:spacing w:line="460" w:lineRule="exact"/>
        <w:ind w:left="192"/>
        <w:rPr>
          <w:b/>
          <w:bCs/>
          <w:color w:val="000000" w:themeColor="text1"/>
          <w:sz w:val="24"/>
          <w:highlight w:val="none"/>
          <w14:textFill>
            <w14:solidFill>
              <w14:schemeClr w14:val="tx1"/>
            </w14:solidFill>
          </w14:textFill>
        </w:rPr>
      </w:pPr>
    </w:p>
    <w:p w14:paraId="0D41198C">
      <w:pPr>
        <w:spacing w:line="460" w:lineRule="exact"/>
        <w:ind w:left="192"/>
        <w:rPr>
          <w:b/>
          <w:bCs/>
          <w:color w:val="000000" w:themeColor="text1"/>
          <w:sz w:val="24"/>
          <w:highlight w:val="none"/>
          <w14:textFill>
            <w14:solidFill>
              <w14:schemeClr w14:val="tx1"/>
            </w14:solidFill>
          </w14:textFill>
        </w:rPr>
      </w:pPr>
    </w:p>
    <w:p w14:paraId="157DC3B6">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附件2-2</w:t>
      </w:r>
    </w:p>
    <w:p w14:paraId="14C9EB45">
      <w:pPr>
        <w:spacing w:line="460" w:lineRule="exact"/>
        <w:ind w:left="192"/>
        <w:jc w:val="left"/>
        <w:rPr>
          <w:b/>
          <w:color w:val="000000" w:themeColor="text1"/>
          <w:sz w:val="24"/>
          <w:highlight w:val="none"/>
          <w14:textFill>
            <w14:solidFill>
              <w14:schemeClr w14:val="tx1"/>
            </w14:solidFill>
          </w14:textFill>
        </w:rPr>
      </w:pPr>
    </w:p>
    <w:p w14:paraId="21537ADA">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1A9CCD4C">
      <w:pPr>
        <w:pStyle w:val="37"/>
        <w:tabs>
          <w:tab w:val="left" w:pos="360"/>
        </w:tabs>
        <w:spacing w:line="360" w:lineRule="auto"/>
        <w:ind w:firstLine="480"/>
        <w:rPr>
          <w:color w:val="000000" w:themeColor="text1"/>
          <w:sz w:val="24"/>
          <w:highlight w:val="none"/>
          <w14:textFill>
            <w14:solidFill>
              <w14:schemeClr w14:val="tx1"/>
            </w14:solidFill>
          </w14:textFill>
        </w:rPr>
      </w:pPr>
    </w:p>
    <w:p w14:paraId="0C7C96C2">
      <w:pPr>
        <w:pStyle w:val="37"/>
        <w:tabs>
          <w:tab w:val="left" w:pos="360"/>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14:textFill>
            <w14:solidFill>
              <w14:schemeClr w14:val="tx1"/>
            </w14:solidFill>
          </w14:textFill>
        </w:rPr>
        <w:t>我单位</w:t>
      </w:r>
      <w:r>
        <w:rPr>
          <w:rFonts w:hint="eastAsia"/>
          <w:color w:val="000000" w:themeColor="text1"/>
          <w:sz w:val="24"/>
          <w:highlight w:val="none"/>
          <w14:textFill>
            <w14:solidFill>
              <w14:schemeClr w14:val="tx1"/>
            </w14:solidFill>
          </w14:textFill>
        </w:rPr>
        <w:t>在经营活动中没有重大违法记录。</w:t>
      </w:r>
    </w:p>
    <w:p w14:paraId="22B04228">
      <w:pPr>
        <w:pStyle w:val="37"/>
        <w:tabs>
          <w:tab w:val="left" w:pos="360"/>
        </w:tabs>
        <w:spacing w:line="360" w:lineRule="auto"/>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5EE6BC6A">
      <w:pPr>
        <w:pStyle w:val="37"/>
        <w:tabs>
          <w:tab w:val="left" w:pos="360"/>
        </w:tabs>
        <w:spacing w:line="360" w:lineRule="auto"/>
        <w:ind w:firstLine="480"/>
        <w:rPr>
          <w:color w:val="000000" w:themeColor="text1"/>
          <w:sz w:val="24"/>
          <w:highlight w:val="none"/>
          <w14:textFill>
            <w14:solidFill>
              <w14:schemeClr w14:val="tx1"/>
            </w14:solidFill>
          </w14:textFill>
        </w:rPr>
      </w:pPr>
    </w:p>
    <w:p w14:paraId="54D71E13">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5BA9AA7F">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6FEC40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6B3C82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A11E75D">
      <w:pPr>
        <w:pStyle w:val="37"/>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1BE5D645">
      <w:pPr>
        <w:pStyle w:val="37"/>
        <w:tabs>
          <w:tab w:val="left" w:pos="360"/>
        </w:tabs>
        <w:spacing w:line="360" w:lineRule="auto"/>
        <w:ind w:firstLine="480"/>
        <w:rPr>
          <w:color w:val="000000" w:themeColor="text1"/>
          <w:sz w:val="24"/>
          <w:highlight w:val="none"/>
          <w14:textFill>
            <w14:solidFill>
              <w14:schemeClr w14:val="tx1"/>
            </w14:solidFill>
          </w14:textFill>
        </w:rPr>
      </w:pPr>
    </w:p>
    <w:p w14:paraId="5B59D5BA">
      <w:pPr>
        <w:pStyle w:val="37"/>
        <w:spacing w:line="360" w:lineRule="auto"/>
        <w:ind w:firstLine="0" w:firstLineChars="0"/>
        <w:jc w:val="center"/>
        <w:rPr>
          <w:b/>
          <w:color w:val="000000" w:themeColor="text1"/>
          <w:sz w:val="24"/>
          <w:highlight w:val="none"/>
          <w14:textFill>
            <w14:solidFill>
              <w14:schemeClr w14:val="tx1"/>
            </w14:solidFill>
          </w14:textFill>
        </w:rPr>
      </w:pPr>
    </w:p>
    <w:p w14:paraId="20693769">
      <w:pPr>
        <w:pStyle w:val="37"/>
        <w:spacing w:line="360" w:lineRule="auto"/>
        <w:ind w:firstLine="0" w:firstLineChars="0"/>
        <w:jc w:val="center"/>
        <w:rPr>
          <w:b/>
          <w:color w:val="000000" w:themeColor="text1"/>
          <w:sz w:val="24"/>
          <w:highlight w:val="none"/>
          <w14:textFill>
            <w14:solidFill>
              <w14:schemeClr w14:val="tx1"/>
            </w14:solidFill>
          </w14:textFill>
        </w:rPr>
      </w:pPr>
    </w:p>
    <w:p w14:paraId="7F7F6DC4">
      <w:pPr>
        <w:pStyle w:val="37"/>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56A2E200">
      <w:pPr>
        <w:pStyle w:val="37"/>
        <w:tabs>
          <w:tab w:val="left" w:pos="360"/>
        </w:tabs>
        <w:spacing w:line="360" w:lineRule="auto"/>
        <w:ind w:firstLine="480"/>
        <w:rPr>
          <w:color w:val="000000" w:themeColor="text1"/>
          <w:sz w:val="24"/>
          <w:highlight w:val="none"/>
          <w14:textFill>
            <w14:solidFill>
              <w14:schemeClr w14:val="tx1"/>
            </w14:solidFill>
          </w14:textFill>
        </w:rPr>
      </w:pPr>
    </w:p>
    <w:p w14:paraId="41C5061F">
      <w:pPr>
        <w:pStyle w:val="37"/>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3E88B139">
      <w:pPr>
        <w:pStyle w:val="37"/>
        <w:tabs>
          <w:tab w:val="left" w:pos="360"/>
        </w:tabs>
        <w:spacing w:line="360" w:lineRule="auto"/>
        <w:ind w:firstLine="480"/>
        <w:rPr>
          <w:color w:val="000000" w:themeColor="text1"/>
          <w:sz w:val="24"/>
          <w:highlight w:val="none"/>
          <w14:textFill>
            <w14:solidFill>
              <w14:schemeClr w14:val="tx1"/>
            </w14:solidFill>
          </w14:textFill>
        </w:rPr>
      </w:pPr>
    </w:p>
    <w:p w14:paraId="1D03A902">
      <w:pPr>
        <w:pStyle w:val="37"/>
        <w:tabs>
          <w:tab w:val="left" w:pos="360"/>
        </w:tabs>
        <w:spacing w:line="360" w:lineRule="auto"/>
        <w:ind w:firstLine="480"/>
        <w:rPr>
          <w:color w:val="000000" w:themeColor="text1"/>
          <w:sz w:val="24"/>
          <w:highlight w:val="none"/>
          <w14:textFill>
            <w14:solidFill>
              <w14:schemeClr w14:val="tx1"/>
            </w14:solidFill>
          </w14:textFill>
        </w:rPr>
      </w:pPr>
    </w:p>
    <w:p w14:paraId="30776847">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FE82842">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385D5C38">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0A7AE1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BCE1805">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C7C613D">
      <w:pPr>
        <w:spacing w:line="460" w:lineRule="exact"/>
        <w:ind w:left="192"/>
        <w:jc w:val="left"/>
        <w:rPr>
          <w:b/>
          <w:color w:val="000000" w:themeColor="text1"/>
          <w:sz w:val="24"/>
          <w:highlight w:val="none"/>
          <w14:textFill>
            <w14:solidFill>
              <w14:schemeClr w14:val="tx1"/>
            </w14:solidFill>
          </w14:textFill>
        </w:rPr>
      </w:pPr>
    </w:p>
    <w:p w14:paraId="2AAB50E1">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094A9AE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14:paraId="0E25A7F3">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磋商</w:t>
      </w:r>
      <w:r>
        <w:rPr>
          <w:b/>
          <w:bCs/>
          <w:color w:val="000000" w:themeColor="text1"/>
          <w:sz w:val="24"/>
          <w:highlight w:val="none"/>
          <w14:textFill>
            <w14:solidFill>
              <w14:schemeClr w14:val="tx1"/>
            </w14:solidFill>
          </w14:textFill>
        </w:rPr>
        <w:t>代表人授权书</w:t>
      </w:r>
    </w:p>
    <w:p w14:paraId="55A8DDCF">
      <w:pPr>
        <w:spacing w:line="360" w:lineRule="auto"/>
        <w:rPr>
          <w:color w:val="000000" w:themeColor="text1"/>
          <w:sz w:val="24"/>
          <w:szCs w:val="21"/>
          <w:highlight w:val="none"/>
          <w14:textFill>
            <w14:solidFill>
              <w14:schemeClr w14:val="tx1"/>
            </w14:solidFill>
          </w14:textFill>
        </w:rPr>
      </w:pPr>
    </w:p>
    <w:p w14:paraId="4A522172">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4BD9E4AF">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14:paraId="0126F85A">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磋商代表人</w:t>
      </w:r>
      <w:r>
        <w:rPr>
          <w:color w:val="000000" w:themeColor="text1"/>
          <w:sz w:val="24"/>
          <w:szCs w:val="21"/>
          <w:highlight w:val="none"/>
          <w14:textFill>
            <w14:solidFill>
              <w14:schemeClr w14:val="tx1"/>
            </w14:solidFill>
          </w14:textFill>
        </w:rPr>
        <w:t>的签名事项负全部责任。</w:t>
      </w:r>
    </w:p>
    <w:p w14:paraId="4F1241F4">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w:t>
      </w:r>
      <w:r>
        <w:rPr>
          <w:rFonts w:hint="eastAsia"/>
          <w:color w:val="000000" w:themeColor="text1"/>
          <w:sz w:val="24"/>
          <w:szCs w:val="21"/>
          <w:highlight w:val="none"/>
          <w14:textFill>
            <w14:solidFill>
              <w14:schemeClr w14:val="tx1"/>
            </w14:solidFill>
          </w14:textFill>
        </w:rPr>
        <w:t>磋商</w:t>
      </w:r>
      <w:r>
        <w:rPr>
          <w:color w:val="000000" w:themeColor="text1"/>
          <w:sz w:val="24"/>
          <w:szCs w:val="21"/>
          <w:highlight w:val="none"/>
          <w14:textFill>
            <w14:solidFill>
              <w14:schemeClr w14:val="tx1"/>
            </w14:solidFill>
          </w14:textFill>
        </w:rPr>
        <w:t>有效期结束前始终有效。</w:t>
      </w:r>
    </w:p>
    <w:p w14:paraId="0A78FC65">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磋商</w:t>
      </w:r>
      <w:r>
        <w:rPr>
          <w:color w:val="000000" w:themeColor="text1"/>
          <w:sz w:val="24"/>
          <w:szCs w:val="21"/>
          <w:highlight w:val="none"/>
          <w14:textFill>
            <w14:solidFill>
              <w14:schemeClr w14:val="tx1"/>
            </w14:solidFill>
          </w14:textFill>
        </w:rPr>
        <w:t>代表人无转委托权，特此委托。</w:t>
      </w:r>
    </w:p>
    <w:p w14:paraId="5E7769F5">
      <w:pPr>
        <w:spacing w:line="360" w:lineRule="auto"/>
        <w:ind w:firstLine="480" w:firstLineChars="200"/>
        <w:rPr>
          <w:color w:val="000000" w:themeColor="text1"/>
          <w:sz w:val="24"/>
          <w:highlight w:val="none"/>
          <w14:textFill>
            <w14:solidFill>
              <w14:schemeClr w14:val="tx1"/>
            </w14:solidFill>
          </w14:textFill>
        </w:rPr>
      </w:pPr>
    </w:p>
    <w:p w14:paraId="2628CFD8">
      <w:pPr>
        <w:spacing w:line="360" w:lineRule="auto"/>
        <w:ind w:firstLine="480" w:firstLineChars="200"/>
        <w:rPr>
          <w:color w:val="000000" w:themeColor="text1"/>
          <w:sz w:val="24"/>
          <w:highlight w:val="none"/>
          <w14:textFill>
            <w14:solidFill>
              <w14:schemeClr w14:val="tx1"/>
            </w14:solidFill>
          </w14:textFill>
        </w:rPr>
      </w:pPr>
    </w:p>
    <w:p w14:paraId="06BA6445">
      <w:pPr>
        <w:spacing w:line="360" w:lineRule="auto"/>
        <w:ind w:firstLine="480" w:firstLineChars="200"/>
        <w:rPr>
          <w:color w:val="000000" w:themeColor="text1"/>
          <w:sz w:val="24"/>
          <w:highlight w:val="none"/>
          <w14:textFill>
            <w14:solidFill>
              <w14:schemeClr w14:val="tx1"/>
            </w14:solidFill>
          </w14:textFill>
        </w:rPr>
      </w:pPr>
    </w:p>
    <w:p w14:paraId="37A55387">
      <w:pPr>
        <w:spacing w:line="360" w:lineRule="auto"/>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CB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C823F2D">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磋商代表人身份证正面</w:t>
            </w:r>
          </w:p>
          <w:p w14:paraId="0BBE9916">
            <w:pPr>
              <w:spacing w:line="360" w:lineRule="auto"/>
              <w:jc w:val="left"/>
              <w:rPr>
                <w:color w:val="000000" w:themeColor="text1"/>
                <w:sz w:val="24"/>
                <w:highlight w:val="none"/>
                <w14:textFill>
                  <w14:solidFill>
                    <w14:schemeClr w14:val="tx1"/>
                  </w14:solidFill>
                </w14:textFill>
              </w:rPr>
            </w:pPr>
          </w:p>
          <w:p w14:paraId="2A039E83">
            <w:pPr>
              <w:spacing w:line="360" w:lineRule="auto"/>
              <w:jc w:val="left"/>
              <w:rPr>
                <w:color w:val="000000" w:themeColor="text1"/>
                <w:sz w:val="24"/>
                <w:highlight w:val="none"/>
                <w14:textFill>
                  <w14:solidFill>
                    <w14:schemeClr w14:val="tx1"/>
                  </w14:solidFill>
                </w14:textFill>
              </w:rPr>
            </w:pPr>
          </w:p>
          <w:p w14:paraId="67E4BFEF">
            <w:pPr>
              <w:spacing w:line="360" w:lineRule="auto"/>
              <w:jc w:val="left"/>
              <w:rPr>
                <w:color w:val="000000" w:themeColor="text1"/>
                <w:sz w:val="24"/>
                <w:highlight w:val="none"/>
                <w14:textFill>
                  <w14:solidFill>
                    <w14:schemeClr w14:val="tx1"/>
                  </w14:solidFill>
                </w14:textFill>
              </w:rPr>
            </w:pPr>
          </w:p>
          <w:p w14:paraId="4DA42471">
            <w:pPr>
              <w:spacing w:line="360" w:lineRule="auto"/>
              <w:jc w:val="left"/>
              <w:rPr>
                <w:color w:val="000000" w:themeColor="text1"/>
                <w:sz w:val="24"/>
                <w:highlight w:val="none"/>
                <w14:textFill>
                  <w14:solidFill>
                    <w14:schemeClr w14:val="tx1"/>
                  </w14:solidFill>
                </w14:textFill>
              </w:rPr>
            </w:pPr>
          </w:p>
          <w:p w14:paraId="2D16DD1E">
            <w:pPr>
              <w:spacing w:line="360" w:lineRule="auto"/>
              <w:jc w:val="left"/>
              <w:rPr>
                <w:color w:val="000000" w:themeColor="text1"/>
                <w:sz w:val="24"/>
                <w:highlight w:val="none"/>
                <w14:textFill>
                  <w14:solidFill>
                    <w14:schemeClr w14:val="tx1"/>
                  </w14:solidFill>
                </w14:textFill>
              </w:rPr>
            </w:pPr>
          </w:p>
        </w:tc>
        <w:tc>
          <w:tcPr>
            <w:tcW w:w="4264" w:type="dxa"/>
          </w:tcPr>
          <w:p w14:paraId="612D881C">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磋商代表人身份证背面</w:t>
            </w:r>
          </w:p>
        </w:tc>
      </w:tr>
    </w:tbl>
    <w:p w14:paraId="5E029CA9">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2540E6F3">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4</w:t>
      </w:r>
    </w:p>
    <w:p w14:paraId="45E8ACCD">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货物分项一览表</w:t>
      </w:r>
    </w:p>
    <w:p w14:paraId="0A3A1AFA">
      <w:pPr>
        <w:tabs>
          <w:tab w:val="left" w:pos="360"/>
        </w:tabs>
        <w:spacing w:line="560" w:lineRule="exact"/>
        <w:jc w:val="center"/>
        <w:rPr>
          <w:b/>
          <w:color w:val="000000" w:themeColor="text1"/>
          <w:sz w:val="24"/>
          <w:highlight w:val="none"/>
          <w14:textFill>
            <w14:solidFill>
              <w14:schemeClr w14:val="tx1"/>
            </w14:solidFill>
          </w14:textFill>
        </w:rPr>
      </w:pPr>
    </w:p>
    <w:p w14:paraId="7229AEE0">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4426C135">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1DCEF59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7B01B1D">
      <w:pPr>
        <w:tabs>
          <w:tab w:val="left" w:pos="10395"/>
        </w:tabs>
        <w:spacing w:line="460" w:lineRule="exact"/>
        <w:ind w:left="181" w:right="-58"/>
        <w:jc w:val="righ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95"/>
        <w:gridCol w:w="767"/>
        <w:gridCol w:w="737"/>
      </w:tblGrid>
      <w:tr w14:paraId="001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A0CF40A">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1348" w:type="dxa"/>
            <w:vAlign w:val="center"/>
          </w:tcPr>
          <w:p w14:paraId="4DFAE891">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716" w:type="dxa"/>
            <w:vAlign w:val="center"/>
          </w:tcPr>
          <w:p w14:paraId="2DB8E0B6">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715" w:type="dxa"/>
            <w:vAlign w:val="center"/>
          </w:tcPr>
          <w:p w14:paraId="28917E62">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1230" w:type="dxa"/>
            <w:vAlign w:val="center"/>
          </w:tcPr>
          <w:p w14:paraId="70AA4E64">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715" w:type="dxa"/>
            <w:vAlign w:val="center"/>
          </w:tcPr>
          <w:p w14:paraId="508E3588">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1235" w:type="dxa"/>
            <w:vAlign w:val="center"/>
          </w:tcPr>
          <w:p w14:paraId="7AA88F20">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商品属性</w:t>
            </w:r>
          </w:p>
        </w:tc>
        <w:tc>
          <w:tcPr>
            <w:tcW w:w="795" w:type="dxa"/>
            <w:vAlign w:val="center"/>
          </w:tcPr>
          <w:p w14:paraId="2F87ADF8">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采购数量</w:t>
            </w:r>
          </w:p>
        </w:tc>
        <w:tc>
          <w:tcPr>
            <w:tcW w:w="767" w:type="dxa"/>
            <w:vAlign w:val="center"/>
          </w:tcPr>
          <w:p w14:paraId="0329D9F1">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计量单位</w:t>
            </w:r>
          </w:p>
        </w:tc>
        <w:tc>
          <w:tcPr>
            <w:tcW w:w="737" w:type="dxa"/>
            <w:vAlign w:val="center"/>
          </w:tcPr>
          <w:p w14:paraId="779A93AB">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备注</w:t>
            </w:r>
          </w:p>
        </w:tc>
      </w:tr>
      <w:tr w14:paraId="4EA7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3A9D329">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0516A85D">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514598D4">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604DAD3">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334BBA61">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B39DA1A">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7571007E">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0B2CD517">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51F79BCF">
            <w:pPr>
              <w:widowControl/>
              <w:jc w:val="center"/>
              <w:rPr>
                <w:color w:val="000000" w:themeColor="text1"/>
                <w:kern w:val="0"/>
                <w:sz w:val="24"/>
                <w:szCs w:val="18"/>
                <w:highlight w:val="none"/>
                <w14:textFill>
                  <w14:solidFill>
                    <w14:schemeClr w14:val="tx1"/>
                  </w14:solidFill>
                </w14:textFill>
              </w:rPr>
            </w:pPr>
          </w:p>
        </w:tc>
        <w:tc>
          <w:tcPr>
            <w:tcW w:w="737" w:type="dxa"/>
            <w:noWrap/>
            <w:vAlign w:val="center"/>
          </w:tcPr>
          <w:p w14:paraId="232146D7">
            <w:pPr>
              <w:widowControl/>
              <w:jc w:val="center"/>
              <w:rPr>
                <w:color w:val="000000" w:themeColor="text1"/>
                <w:kern w:val="0"/>
                <w:sz w:val="24"/>
                <w:szCs w:val="24"/>
                <w:highlight w:val="none"/>
                <w14:textFill>
                  <w14:solidFill>
                    <w14:schemeClr w14:val="tx1"/>
                  </w14:solidFill>
                </w14:textFill>
              </w:rPr>
            </w:pPr>
          </w:p>
        </w:tc>
      </w:tr>
      <w:tr w14:paraId="01B8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A5FFE8A">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1FB4A4EA">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702761F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1E76E4C">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167F1A6D">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5257FA5">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2A9EB1B0">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25137120">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75E79756">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50A5BFB8">
            <w:pPr>
              <w:widowControl/>
              <w:jc w:val="center"/>
              <w:rPr>
                <w:color w:val="000000" w:themeColor="text1"/>
                <w:kern w:val="0"/>
                <w:sz w:val="24"/>
                <w:szCs w:val="24"/>
                <w:highlight w:val="none"/>
                <w14:textFill>
                  <w14:solidFill>
                    <w14:schemeClr w14:val="tx1"/>
                  </w14:solidFill>
                </w14:textFill>
              </w:rPr>
            </w:pPr>
          </w:p>
        </w:tc>
      </w:tr>
      <w:tr w14:paraId="712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94C4686">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6E3A5746">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F330C0B">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461E652">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ACDE04E">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7230EBD">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16F952FC">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75F15DCB">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47A82331">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185ADEC1">
            <w:pPr>
              <w:widowControl/>
              <w:jc w:val="center"/>
              <w:rPr>
                <w:color w:val="000000" w:themeColor="text1"/>
                <w:kern w:val="0"/>
                <w:sz w:val="24"/>
                <w:szCs w:val="24"/>
                <w:highlight w:val="none"/>
                <w14:textFill>
                  <w14:solidFill>
                    <w14:schemeClr w14:val="tx1"/>
                  </w14:solidFill>
                </w14:textFill>
              </w:rPr>
            </w:pPr>
          </w:p>
        </w:tc>
      </w:tr>
      <w:tr w14:paraId="3D06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D03B012">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11868C1E">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71BA0BD3">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9648EF3">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71CCA5F7">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5307DC95">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6FA610AD">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50DAA0CD">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6E57BE4C">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372C640B">
            <w:pPr>
              <w:widowControl/>
              <w:jc w:val="center"/>
              <w:rPr>
                <w:color w:val="000000" w:themeColor="text1"/>
                <w:kern w:val="0"/>
                <w:sz w:val="24"/>
                <w:szCs w:val="24"/>
                <w:highlight w:val="none"/>
                <w14:textFill>
                  <w14:solidFill>
                    <w14:schemeClr w14:val="tx1"/>
                  </w14:solidFill>
                </w14:textFill>
              </w:rPr>
            </w:pPr>
          </w:p>
        </w:tc>
      </w:tr>
      <w:tr w14:paraId="2E32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8DA1759">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71BE80D4">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34613A81">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10E3983">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9C1177A">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FAE88B3">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55BF0BA6">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1D2ECA3B">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2710F4A1">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50858AFF">
            <w:pPr>
              <w:widowControl/>
              <w:jc w:val="center"/>
              <w:rPr>
                <w:color w:val="000000" w:themeColor="text1"/>
                <w:kern w:val="0"/>
                <w:sz w:val="24"/>
                <w:szCs w:val="24"/>
                <w:highlight w:val="none"/>
                <w14:textFill>
                  <w14:solidFill>
                    <w14:schemeClr w14:val="tx1"/>
                  </w14:solidFill>
                </w14:textFill>
              </w:rPr>
            </w:pPr>
          </w:p>
        </w:tc>
      </w:tr>
      <w:tr w14:paraId="5269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6572909">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68CE1EED">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6855013">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35DCAEA">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403E1699">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8F5D023">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793E9F69">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72767108">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44DB43B5">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2AC13DB6">
            <w:pPr>
              <w:widowControl/>
              <w:jc w:val="center"/>
              <w:rPr>
                <w:color w:val="000000" w:themeColor="text1"/>
                <w:kern w:val="0"/>
                <w:sz w:val="24"/>
                <w:szCs w:val="24"/>
                <w:highlight w:val="none"/>
                <w14:textFill>
                  <w14:solidFill>
                    <w14:schemeClr w14:val="tx1"/>
                  </w14:solidFill>
                </w14:textFill>
              </w:rPr>
            </w:pPr>
          </w:p>
        </w:tc>
      </w:tr>
      <w:tr w14:paraId="165D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C34CFC6">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01139B7A">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684041CD">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429554E">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40BA4BA1">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5F44577">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4719C83D">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4323961D">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4742BB17">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6610320D">
            <w:pPr>
              <w:widowControl/>
              <w:jc w:val="center"/>
              <w:rPr>
                <w:color w:val="000000" w:themeColor="text1"/>
                <w:kern w:val="0"/>
                <w:sz w:val="24"/>
                <w:szCs w:val="24"/>
                <w:highlight w:val="none"/>
                <w14:textFill>
                  <w14:solidFill>
                    <w14:schemeClr w14:val="tx1"/>
                  </w14:solidFill>
                </w14:textFill>
              </w:rPr>
            </w:pPr>
          </w:p>
        </w:tc>
      </w:tr>
    </w:tbl>
    <w:p w14:paraId="0B067A79">
      <w:pPr>
        <w:spacing w:line="460" w:lineRule="exact"/>
        <w:ind w:left="180"/>
        <w:rPr>
          <w:color w:val="000000" w:themeColor="text1"/>
          <w:sz w:val="24"/>
          <w:highlight w:val="none"/>
          <w14:textFill>
            <w14:solidFill>
              <w14:schemeClr w14:val="tx1"/>
            </w14:solidFill>
          </w14:textFill>
        </w:rPr>
      </w:pPr>
    </w:p>
    <w:p w14:paraId="12953AD8">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01FF1D81">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商品属性应在“环保产品”、“节能、节水产品”、“自主知识产权产品”、“无”四个选择项中选择填写。</w:t>
      </w:r>
    </w:p>
    <w:p w14:paraId="331B97B6">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 </w:t>
      </w:r>
      <w:r>
        <w:rPr>
          <w:rFonts w:hint="eastAsia"/>
          <w:color w:val="000000" w:themeColor="text1"/>
          <w:sz w:val="24"/>
          <w:szCs w:val="24"/>
          <w:highlight w:val="none"/>
          <w14:textFill>
            <w14:solidFill>
              <w14:schemeClr w14:val="tx1"/>
            </w14:solidFill>
          </w14:textFill>
        </w:rPr>
        <w:t>货物</w:t>
      </w:r>
      <w:r>
        <w:rPr>
          <w:color w:val="000000" w:themeColor="text1"/>
          <w:sz w:val="24"/>
          <w:szCs w:val="24"/>
          <w:highlight w:val="none"/>
          <w14:textFill>
            <w14:solidFill>
              <w14:schemeClr w14:val="tx1"/>
            </w14:solidFill>
          </w14:textFill>
        </w:rPr>
        <w:t>分项一览表中应列明</w:t>
      </w:r>
      <w:r>
        <w:rPr>
          <w:rFonts w:hint="eastAsia"/>
          <w:color w:val="000000" w:themeColor="text1"/>
          <w:sz w:val="24"/>
          <w:szCs w:val="24"/>
          <w:highlight w:val="none"/>
          <w14:textFill>
            <w14:solidFill>
              <w14:schemeClr w14:val="tx1"/>
            </w14:solidFill>
          </w14:textFill>
        </w:rPr>
        <w:t>货物</w:t>
      </w:r>
      <w:r>
        <w:rPr>
          <w:color w:val="000000" w:themeColor="text1"/>
          <w:sz w:val="24"/>
          <w:szCs w:val="24"/>
          <w:highlight w:val="none"/>
          <w14:textFill>
            <w14:solidFill>
              <w14:schemeClr w14:val="tx1"/>
            </w14:solidFill>
          </w14:textFill>
        </w:rPr>
        <w:t>一览表中每项的分项内容。</w:t>
      </w:r>
    </w:p>
    <w:p w14:paraId="4497DD49">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如国产产品，产地精确到省级行政区域。如进口产品，产地精确到国家。</w:t>
      </w:r>
    </w:p>
    <w:p w14:paraId="111124E5">
      <w:pPr>
        <w:spacing w:line="360" w:lineRule="auto"/>
        <w:ind w:left="181"/>
        <w:rPr>
          <w:color w:val="000000" w:themeColor="text1"/>
          <w:sz w:val="24"/>
          <w:szCs w:val="24"/>
          <w:highlight w:val="none"/>
          <w14:textFill>
            <w14:solidFill>
              <w14:schemeClr w14:val="tx1"/>
            </w14:solidFill>
          </w14:textFill>
        </w:rPr>
      </w:pPr>
    </w:p>
    <w:p w14:paraId="59C123D5">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6188768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B37CBD8">
      <w:pPr>
        <w:spacing w:line="460" w:lineRule="exact"/>
        <w:ind w:left="180"/>
        <w:rPr>
          <w:color w:val="000000" w:themeColor="text1"/>
          <w:sz w:val="24"/>
          <w:highlight w:val="none"/>
          <w14:textFill>
            <w14:solidFill>
              <w14:schemeClr w14:val="tx1"/>
            </w14:solidFill>
          </w14:textFill>
        </w:rPr>
      </w:pPr>
    </w:p>
    <w:p w14:paraId="3693FD27">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5</w:t>
      </w:r>
    </w:p>
    <w:p w14:paraId="66639948">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商务要求点对点应答表</w:t>
      </w:r>
    </w:p>
    <w:p w14:paraId="15FC5060">
      <w:pPr>
        <w:spacing w:line="460" w:lineRule="exact"/>
        <w:rPr>
          <w:color w:val="000000" w:themeColor="text1"/>
          <w:sz w:val="24"/>
          <w:highlight w:val="none"/>
          <w14:textFill>
            <w14:solidFill>
              <w14:schemeClr w14:val="tx1"/>
            </w14:solidFill>
          </w14:textFill>
        </w:rPr>
      </w:pPr>
    </w:p>
    <w:p w14:paraId="0BA437F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6039DF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3D04FD8">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993EB02">
      <w:pPr>
        <w:spacing w:line="460" w:lineRule="exact"/>
        <w:rPr>
          <w:color w:val="000000" w:themeColor="text1"/>
          <w:sz w:val="24"/>
          <w:highlight w:val="none"/>
          <w:u w:val="single"/>
          <w14:textFill>
            <w14:solidFill>
              <w14:schemeClr w14:val="tx1"/>
            </w14:solidFill>
          </w14:textFill>
        </w:rPr>
      </w:pPr>
    </w:p>
    <w:tbl>
      <w:tblPr>
        <w:tblStyle w:val="1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322D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AAB87E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shd w:val="clear" w:color="auto" w:fill="auto"/>
            <w:vAlign w:val="center"/>
          </w:tcPr>
          <w:p w14:paraId="1188F957">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w:t>
            </w:r>
            <w:r>
              <w:rPr>
                <w:color w:val="000000" w:themeColor="text1"/>
                <w:kern w:val="0"/>
                <w:sz w:val="24"/>
                <w:szCs w:val="21"/>
                <w:highlight w:val="none"/>
                <w14:textFill>
                  <w14:solidFill>
                    <w14:schemeClr w14:val="tx1"/>
                  </w14:solidFill>
                </w14:textFill>
              </w:rPr>
              <w:t>要求</w:t>
            </w:r>
          </w:p>
        </w:tc>
        <w:tc>
          <w:tcPr>
            <w:tcW w:w="2680" w:type="dxa"/>
            <w:shd w:val="clear" w:color="auto" w:fill="auto"/>
            <w:vAlign w:val="center"/>
          </w:tcPr>
          <w:p w14:paraId="4ED24B55">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w:t>
            </w:r>
            <w:r>
              <w:rPr>
                <w:color w:val="000000" w:themeColor="text1"/>
                <w:kern w:val="0"/>
                <w:sz w:val="24"/>
                <w:szCs w:val="21"/>
                <w:highlight w:val="none"/>
                <w14:textFill>
                  <w14:solidFill>
                    <w14:schemeClr w14:val="tx1"/>
                  </w14:solidFill>
                </w14:textFill>
              </w:rPr>
              <w:t>应答</w:t>
            </w:r>
          </w:p>
        </w:tc>
        <w:tc>
          <w:tcPr>
            <w:tcW w:w="1979" w:type="dxa"/>
            <w:shd w:val="clear" w:color="auto" w:fill="auto"/>
            <w:vAlign w:val="center"/>
          </w:tcPr>
          <w:p w14:paraId="74A0D5B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shd w:val="clear" w:color="auto" w:fill="auto"/>
            <w:vAlign w:val="center"/>
          </w:tcPr>
          <w:p w14:paraId="5933C58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3D2C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0AF6E7F0">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一</w:t>
            </w:r>
            <w:r>
              <w:rPr>
                <w:color w:val="000000" w:themeColor="text1"/>
                <w:kern w:val="0"/>
                <w:sz w:val="24"/>
                <w:szCs w:val="21"/>
                <w:highlight w:val="none"/>
                <w14:textFill>
                  <w14:solidFill>
                    <w14:schemeClr w14:val="tx1"/>
                  </w14:solidFill>
                </w14:textFill>
              </w:rPr>
              <w:t>）报价要求</w:t>
            </w:r>
          </w:p>
        </w:tc>
      </w:tr>
      <w:tr w14:paraId="6D08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74DD90C0">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730715F3">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1E20362">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06A8CD67">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4DC9334">
            <w:pPr>
              <w:widowControl/>
              <w:snapToGrid w:val="0"/>
              <w:jc w:val="left"/>
              <w:rPr>
                <w:color w:val="000000" w:themeColor="text1"/>
                <w:kern w:val="0"/>
                <w:sz w:val="24"/>
                <w:szCs w:val="21"/>
                <w:highlight w:val="none"/>
                <w14:textFill>
                  <w14:solidFill>
                    <w14:schemeClr w14:val="tx1"/>
                  </w14:solidFill>
                </w14:textFill>
              </w:rPr>
            </w:pPr>
          </w:p>
        </w:tc>
      </w:tr>
      <w:tr w14:paraId="472B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716095B">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5371D7A0">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516A00B9">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AAA8CC0">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2BE68FE5">
            <w:pPr>
              <w:widowControl/>
              <w:snapToGrid w:val="0"/>
              <w:jc w:val="left"/>
              <w:rPr>
                <w:color w:val="000000" w:themeColor="text1"/>
                <w:kern w:val="0"/>
                <w:sz w:val="24"/>
                <w:szCs w:val="21"/>
                <w:highlight w:val="none"/>
                <w14:textFill>
                  <w14:solidFill>
                    <w14:schemeClr w14:val="tx1"/>
                  </w14:solidFill>
                </w14:textFill>
              </w:rPr>
            </w:pPr>
          </w:p>
        </w:tc>
      </w:tr>
      <w:tr w14:paraId="3179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5C3D29CD">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（二）服务要求</w:t>
            </w:r>
          </w:p>
        </w:tc>
      </w:tr>
      <w:tr w14:paraId="0C74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DDCF2FA">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40621771">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E2A33DA">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0413F7F5">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0D1C299B">
            <w:pPr>
              <w:widowControl/>
              <w:snapToGrid w:val="0"/>
              <w:jc w:val="left"/>
              <w:rPr>
                <w:color w:val="000000" w:themeColor="text1"/>
                <w:kern w:val="0"/>
                <w:sz w:val="24"/>
                <w:szCs w:val="21"/>
                <w:highlight w:val="none"/>
                <w14:textFill>
                  <w14:solidFill>
                    <w14:schemeClr w14:val="tx1"/>
                  </w14:solidFill>
                </w14:textFill>
              </w:rPr>
            </w:pPr>
          </w:p>
        </w:tc>
      </w:tr>
      <w:tr w14:paraId="1F41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777F896E">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72C84A27">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8D1AA7D">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E863BAC">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2EAC3384">
            <w:pPr>
              <w:widowControl/>
              <w:snapToGrid w:val="0"/>
              <w:jc w:val="left"/>
              <w:rPr>
                <w:color w:val="000000" w:themeColor="text1"/>
                <w:kern w:val="0"/>
                <w:sz w:val="24"/>
                <w:szCs w:val="21"/>
                <w:highlight w:val="none"/>
                <w14:textFill>
                  <w14:solidFill>
                    <w14:schemeClr w14:val="tx1"/>
                  </w14:solidFill>
                </w14:textFill>
              </w:rPr>
            </w:pPr>
          </w:p>
        </w:tc>
      </w:tr>
      <w:tr w14:paraId="4673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F0964FA">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（三）交货要求</w:t>
            </w:r>
          </w:p>
        </w:tc>
      </w:tr>
      <w:tr w14:paraId="1B78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58E62E17">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11830366">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6A2607C4">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5004CE62">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636E59D2">
            <w:pPr>
              <w:widowControl/>
              <w:snapToGrid w:val="0"/>
              <w:jc w:val="left"/>
              <w:rPr>
                <w:color w:val="000000" w:themeColor="text1"/>
                <w:kern w:val="0"/>
                <w:sz w:val="24"/>
                <w:szCs w:val="21"/>
                <w:highlight w:val="none"/>
                <w14:textFill>
                  <w14:solidFill>
                    <w14:schemeClr w14:val="tx1"/>
                  </w14:solidFill>
                </w14:textFill>
              </w:rPr>
            </w:pPr>
          </w:p>
        </w:tc>
      </w:tr>
      <w:tr w14:paraId="00AC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7FA1E3CB">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四</w:t>
            </w:r>
            <w:r>
              <w:rPr>
                <w:color w:val="000000" w:themeColor="text1"/>
                <w:kern w:val="0"/>
                <w:sz w:val="24"/>
                <w:szCs w:val="21"/>
                <w:highlight w:val="none"/>
                <w14:textFill>
                  <w14:solidFill>
                    <w14:schemeClr w14:val="tx1"/>
                  </w14:solidFill>
                </w14:textFill>
              </w:rPr>
              <w:t>）付款方式</w:t>
            </w:r>
          </w:p>
        </w:tc>
      </w:tr>
      <w:tr w14:paraId="56CD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357985B">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527C9282">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00D5416">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A5F95D3">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7003A494">
            <w:pPr>
              <w:widowControl/>
              <w:snapToGrid w:val="0"/>
              <w:jc w:val="left"/>
              <w:rPr>
                <w:color w:val="000000" w:themeColor="text1"/>
                <w:kern w:val="0"/>
                <w:sz w:val="24"/>
                <w:szCs w:val="21"/>
                <w:highlight w:val="none"/>
                <w14:textFill>
                  <w14:solidFill>
                    <w14:schemeClr w14:val="tx1"/>
                  </w14:solidFill>
                </w14:textFill>
              </w:rPr>
            </w:pPr>
          </w:p>
        </w:tc>
      </w:tr>
      <w:tr w14:paraId="2927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2CB14EC6">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五</w:t>
            </w:r>
            <w:r>
              <w:rPr>
                <w:color w:val="000000" w:themeColor="text1"/>
                <w:kern w:val="0"/>
                <w:sz w:val="24"/>
                <w:szCs w:val="21"/>
                <w:highlight w:val="none"/>
                <w14:textFill>
                  <w14:solidFill>
                    <w14:schemeClr w14:val="tx1"/>
                  </w14:solidFill>
                </w14:textFill>
              </w:rPr>
              <w:t>）投标保证金和履约保证金</w:t>
            </w:r>
          </w:p>
        </w:tc>
      </w:tr>
      <w:tr w14:paraId="191E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764FA6F4">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68C4E536">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649A2B25">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0976252D">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47CF70F">
            <w:pPr>
              <w:widowControl/>
              <w:snapToGrid w:val="0"/>
              <w:jc w:val="left"/>
              <w:rPr>
                <w:color w:val="000000" w:themeColor="text1"/>
                <w:kern w:val="0"/>
                <w:sz w:val="24"/>
                <w:szCs w:val="21"/>
                <w:highlight w:val="none"/>
                <w14:textFill>
                  <w14:solidFill>
                    <w14:schemeClr w14:val="tx1"/>
                  </w14:solidFill>
                </w14:textFill>
              </w:rPr>
            </w:pPr>
          </w:p>
        </w:tc>
      </w:tr>
    </w:tbl>
    <w:p w14:paraId="48091A05">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20381878">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230F8797">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要求指</w:t>
      </w:r>
      <w:r>
        <w:rPr>
          <w:rFonts w:hint="eastAsia"/>
          <w:color w:val="000000" w:themeColor="text1"/>
          <w:sz w:val="24"/>
          <w:highlight w:val="none"/>
          <w14:textFill>
            <w14:solidFill>
              <w14:schemeClr w14:val="tx1"/>
            </w14:solidFill>
          </w14:textFill>
        </w:rPr>
        <w:t>竞争性磋商</w:t>
      </w:r>
      <w:r>
        <w:rPr>
          <w:color w:val="000000" w:themeColor="text1"/>
          <w:sz w:val="24"/>
          <w:highlight w:val="none"/>
          <w14:textFill>
            <w14:solidFill>
              <w14:schemeClr w14:val="tx1"/>
            </w14:solidFill>
          </w14:textFill>
        </w:rPr>
        <w:t>文件中规定的具体要求，</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应答指</w:t>
      </w:r>
      <w:r>
        <w:rPr>
          <w:rFonts w:hint="eastAsia"/>
          <w:color w:val="000000" w:themeColor="text1"/>
          <w:sz w:val="24"/>
          <w:highlight w:val="none"/>
          <w14:textFill>
            <w14:solidFill>
              <w14:schemeClr w14:val="tx1"/>
            </w14:solidFill>
          </w14:textFill>
        </w:rPr>
        <w:t>响应文件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25D17716">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要求与</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应答之间的不同之处。</w:t>
      </w:r>
    </w:p>
    <w:p w14:paraId="6FD2488D">
      <w:pPr>
        <w:spacing w:line="360" w:lineRule="auto"/>
        <w:rPr>
          <w:color w:val="000000" w:themeColor="text1"/>
          <w:sz w:val="24"/>
          <w:highlight w:val="none"/>
          <w14:textFill>
            <w14:solidFill>
              <w14:schemeClr w14:val="tx1"/>
            </w14:solidFill>
          </w14:textFill>
        </w:rPr>
      </w:pPr>
    </w:p>
    <w:p w14:paraId="713646F3">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4A4CD0B0">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FEEC5E0">
      <w:pPr>
        <w:spacing w:line="460" w:lineRule="exact"/>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p>
    <w:p w14:paraId="062A2FB2">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技术要求点对点应答表</w:t>
      </w:r>
    </w:p>
    <w:p w14:paraId="1B7462F5">
      <w:pPr>
        <w:spacing w:line="460" w:lineRule="exact"/>
        <w:rPr>
          <w:color w:val="000000" w:themeColor="text1"/>
          <w:sz w:val="24"/>
          <w:highlight w:val="none"/>
          <w14:textFill>
            <w14:solidFill>
              <w14:schemeClr w14:val="tx1"/>
            </w14:solidFill>
          </w14:textFill>
        </w:rPr>
      </w:pPr>
    </w:p>
    <w:p w14:paraId="5B0519A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DB72FC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27AFEF8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1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2641"/>
        <w:gridCol w:w="2680"/>
        <w:gridCol w:w="1289"/>
        <w:gridCol w:w="1315"/>
      </w:tblGrid>
      <w:tr w14:paraId="1CE8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6"/>
            <w:shd w:val="clear" w:color="auto" w:fill="auto"/>
            <w:vAlign w:val="center"/>
          </w:tcPr>
          <w:p w14:paraId="23841363">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竞争性磋商文件第二部分技术要求</w:t>
            </w:r>
          </w:p>
        </w:tc>
      </w:tr>
      <w:tr w14:paraId="60BE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FF1656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2"/>
            <w:shd w:val="clear" w:color="auto" w:fill="auto"/>
            <w:vAlign w:val="center"/>
          </w:tcPr>
          <w:p w14:paraId="0ACBD3F9">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磋商要求</w:t>
            </w:r>
          </w:p>
        </w:tc>
        <w:tc>
          <w:tcPr>
            <w:tcW w:w="2680" w:type="dxa"/>
            <w:shd w:val="clear" w:color="auto" w:fill="auto"/>
            <w:vAlign w:val="center"/>
          </w:tcPr>
          <w:p w14:paraId="488FA9BC">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4A6F669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shd w:val="clear" w:color="auto" w:fill="auto"/>
            <w:vAlign w:val="center"/>
          </w:tcPr>
          <w:p w14:paraId="2EBE974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7523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B78EE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2"/>
            <w:shd w:val="clear" w:color="auto" w:fill="auto"/>
            <w:vAlign w:val="center"/>
          </w:tcPr>
          <w:p w14:paraId="62F289C3">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D9BE74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103E4FC">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7D7463BF">
            <w:pPr>
              <w:widowControl/>
              <w:snapToGrid w:val="0"/>
              <w:jc w:val="center"/>
              <w:rPr>
                <w:color w:val="000000" w:themeColor="text1"/>
                <w:kern w:val="0"/>
                <w:sz w:val="24"/>
                <w:szCs w:val="21"/>
                <w:highlight w:val="none"/>
                <w14:textFill>
                  <w14:solidFill>
                    <w14:schemeClr w14:val="tx1"/>
                  </w14:solidFill>
                </w14:textFill>
              </w:rPr>
            </w:pPr>
          </w:p>
        </w:tc>
      </w:tr>
      <w:tr w14:paraId="5035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C5628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2"/>
            <w:shd w:val="clear" w:color="auto" w:fill="auto"/>
            <w:vAlign w:val="center"/>
          </w:tcPr>
          <w:p w14:paraId="0260C5B6">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558D784F">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F4D5A73">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4593BFE6">
            <w:pPr>
              <w:widowControl/>
              <w:snapToGrid w:val="0"/>
              <w:jc w:val="center"/>
              <w:rPr>
                <w:color w:val="000000" w:themeColor="text1"/>
                <w:kern w:val="0"/>
                <w:sz w:val="24"/>
                <w:szCs w:val="21"/>
                <w:highlight w:val="none"/>
                <w14:textFill>
                  <w14:solidFill>
                    <w14:schemeClr w14:val="tx1"/>
                  </w14:solidFill>
                </w14:textFill>
              </w:rPr>
            </w:pPr>
          </w:p>
        </w:tc>
      </w:tr>
      <w:tr w14:paraId="135A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7C9533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2"/>
            <w:shd w:val="clear" w:color="auto" w:fill="auto"/>
            <w:vAlign w:val="center"/>
          </w:tcPr>
          <w:p w14:paraId="41894CCD">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4B5431AF">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802DEE9">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212E96C5">
            <w:pPr>
              <w:widowControl/>
              <w:snapToGrid w:val="0"/>
              <w:jc w:val="center"/>
              <w:rPr>
                <w:color w:val="000000" w:themeColor="text1"/>
                <w:kern w:val="0"/>
                <w:sz w:val="24"/>
                <w:szCs w:val="21"/>
                <w:highlight w:val="none"/>
                <w14:textFill>
                  <w14:solidFill>
                    <w14:schemeClr w14:val="tx1"/>
                  </w14:solidFill>
                </w14:textFill>
              </w:rPr>
            </w:pPr>
          </w:p>
        </w:tc>
      </w:tr>
      <w:tr w14:paraId="3EF4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FBE95C">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2"/>
            <w:shd w:val="clear" w:color="auto" w:fill="auto"/>
            <w:vAlign w:val="center"/>
          </w:tcPr>
          <w:p w14:paraId="4D342BA3">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657AF56A">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925BE3F">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78004F73">
            <w:pPr>
              <w:widowControl/>
              <w:snapToGrid w:val="0"/>
              <w:jc w:val="center"/>
              <w:rPr>
                <w:color w:val="000000" w:themeColor="text1"/>
                <w:kern w:val="0"/>
                <w:sz w:val="24"/>
                <w:szCs w:val="21"/>
                <w:highlight w:val="none"/>
                <w14:textFill>
                  <w14:solidFill>
                    <w14:schemeClr w14:val="tx1"/>
                  </w14:solidFill>
                </w14:textFill>
              </w:rPr>
            </w:pPr>
          </w:p>
        </w:tc>
      </w:tr>
      <w:tr w14:paraId="767F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6"/>
            <w:shd w:val="clear" w:color="auto" w:fill="auto"/>
            <w:vAlign w:val="center"/>
          </w:tcPr>
          <w:p w14:paraId="53C638D8">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w:t>
            </w: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清单技术参数须逐条应答）</w:t>
            </w:r>
          </w:p>
        </w:tc>
      </w:tr>
      <w:tr w14:paraId="49FA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E9292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shd w:val="clear" w:color="auto" w:fill="auto"/>
            <w:vAlign w:val="center"/>
          </w:tcPr>
          <w:p w14:paraId="7DDD2811">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14:paraId="2856FF06">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2641" w:type="dxa"/>
            <w:shd w:val="clear" w:color="auto" w:fill="auto"/>
            <w:vAlign w:val="center"/>
          </w:tcPr>
          <w:p w14:paraId="2C8263EB">
            <w:pPr>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磋商要求</w:t>
            </w:r>
          </w:p>
        </w:tc>
        <w:tc>
          <w:tcPr>
            <w:tcW w:w="2680" w:type="dxa"/>
            <w:shd w:val="clear" w:color="auto" w:fill="auto"/>
            <w:vAlign w:val="center"/>
          </w:tcPr>
          <w:p w14:paraId="214006F0">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3056F37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14:paraId="12C7D52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shd w:val="clear" w:color="auto" w:fill="auto"/>
            <w:vAlign w:val="center"/>
          </w:tcPr>
          <w:p w14:paraId="17484136">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14:paraId="1CA9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94C597">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116CF2E5">
            <w:pPr>
              <w:widowControl/>
              <w:snapToGrid w:val="0"/>
              <w:jc w:val="center"/>
              <w:rPr>
                <w:color w:val="000000" w:themeColor="text1"/>
                <w:kern w:val="0"/>
                <w:sz w:val="24"/>
                <w:szCs w:val="21"/>
                <w:highlight w:val="none"/>
                <w14:textFill>
                  <w14:solidFill>
                    <w14:schemeClr w14:val="tx1"/>
                  </w14:solidFill>
                </w14:textFill>
              </w:rPr>
            </w:pPr>
          </w:p>
        </w:tc>
        <w:tc>
          <w:tcPr>
            <w:tcW w:w="2641" w:type="dxa"/>
            <w:shd w:val="clear" w:color="auto" w:fill="auto"/>
            <w:vAlign w:val="center"/>
          </w:tcPr>
          <w:p w14:paraId="1BAF0825">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24D83BD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67BD2F7">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275901E2">
            <w:pPr>
              <w:widowControl/>
              <w:snapToGrid w:val="0"/>
              <w:jc w:val="center"/>
              <w:rPr>
                <w:color w:val="000000" w:themeColor="text1"/>
                <w:kern w:val="0"/>
                <w:sz w:val="24"/>
                <w:szCs w:val="21"/>
                <w:highlight w:val="none"/>
                <w14:textFill>
                  <w14:solidFill>
                    <w14:schemeClr w14:val="tx1"/>
                  </w14:solidFill>
                </w14:textFill>
              </w:rPr>
            </w:pPr>
          </w:p>
        </w:tc>
      </w:tr>
      <w:tr w14:paraId="77C0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9F5981">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3C397B76">
            <w:pPr>
              <w:widowControl/>
              <w:snapToGrid w:val="0"/>
              <w:jc w:val="center"/>
              <w:rPr>
                <w:color w:val="000000" w:themeColor="text1"/>
                <w:kern w:val="0"/>
                <w:sz w:val="24"/>
                <w:szCs w:val="21"/>
                <w:highlight w:val="none"/>
                <w14:textFill>
                  <w14:solidFill>
                    <w14:schemeClr w14:val="tx1"/>
                  </w14:solidFill>
                </w14:textFill>
              </w:rPr>
            </w:pPr>
          </w:p>
        </w:tc>
        <w:tc>
          <w:tcPr>
            <w:tcW w:w="2641" w:type="dxa"/>
            <w:shd w:val="clear" w:color="auto" w:fill="auto"/>
            <w:vAlign w:val="center"/>
          </w:tcPr>
          <w:p w14:paraId="0442304B">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A43593A">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04C2F7D1">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46A9B636">
            <w:pPr>
              <w:widowControl/>
              <w:snapToGrid w:val="0"/>
              <w:jc w:val="center"/>
              <w:rPr>
                <w:color w:val="000000" w:themeColor="text1"/>
                <w:kern w:val="0"/>
                <w:sz w:val="24"/>
                <w:szCs w:val="21"/>
                <w:highlight w:val="none"/>
                <w14:textFill>
                  <w14:solidFill>
                    <w14:schemeClr w14:val="tx1"/>
                  </w14:solidFill>
                </w14:textFill>
              </w:rPr>
            </w:pPr>
          </w:p>
        </w:tc>
      </w:tr>
    </w:tbl>
    <w:p w14:paraId="1E99679E">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7E28DA1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0044497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要求指磋商文件中规定的具体要求，</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应答指响应文件的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56C396F9">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要求与</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应答之间的不同之处。</w:t>
      </w:r>
    </w:p>
    <w:p w14:paraId="2883BD81">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供应商在《技术要求点对点应答表》“采购清单技术参数”的响应应答中必须列出具体数值或内容。如供应商未应答或只注明“符合”、“满足”等类似无具体内容的表述，将被视为不符合磋商文件要求。供应商自行承担由此造成的一切后果。</w:t>
      </w:r>
    </w:p>
    <w:p w14:paraId="6109C711">
      <w:pPr>
        <w:spacing w:line="360" w:lineRule="auto"/>
        <w:ind w:firstLine="4080" w:firstLineChars="1700"/>
        <w:rPr>
          <w:color w:val="000000" w:themeColor="text1"/>
          <w:sz w:val="24"/>
          <w:highlight w:val="none"/>
          <w14:textFill>
            <w14:solidFill>
              <w14:schemeClr w14:val="tx1"/>
            </w14:solidFill>
          </w14:textFill>
        </w:rPr>
      </w:pPr>
    </w:p>
    <w:p w14:paraId="4F26C2C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1D0AF97A">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911851A">
      <w:pPr>
        <w:spacing w:line="460" w:lineRule="exact"/>
        <w:jc w:val="left"/>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附件7</w:t>
      </w:r>
    </w:p>
    <w:p w14:paraId="402C10BC">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业绩一览表</w:t>
      </w:r>
    </w:p>
    <w:p w14:paraId="758AD16A">
      <w:pPr>
        <w:spacing w:line="460" w:lineRule="exact"/>
        <w:ind w:left="192"/>
        <w:rPr>
          <w:color w:val="000000" w:themeColor="text1"/>
          <w:sz w:val="24"/>
          <w:highlight w:val="none"/>
          <w14:textFill>
            <w14:solidFill>
              <w14:schemeClr w14:val="tx1"/>
            </w14:solidFill>
          </w14:textFill>
        </w:rPr>
      </w:pPr>
    </w:p>
    <w:p w14:paraId="6990B68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FB7765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C42E561">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5D66A010">
      <w:pPr>
        <w:spacing w:line="460" w:lineRule="exact"/>
        <w:ind w:left="192"/>
        <w:rPr>
          <w:color w:val="000000" w:themeColor="text1"/>
          <w:sz w:val="24"/>
          <w:highlight w:val="none"/>
          <w14:textFill>
            <w14:solidFill>
              <w14:schemeClr w14:val="tx1"/>
            </w14:solidFill>
          </w14:textFill>
        </w:rPr>
      </w:pPr>
    </w:p>
    <w:tbl>
      <w:tblPr>
        <w:tblStyle w:val="17"/>
        <w:tblW w:w="4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28"/>
        <w:gridCol w:w="1356"/>
        <w:gridCol w:w="1633"/>
        <w:gridCol w:w="932"/>
        <w:gridCol w:w="2278"/>
      </w:tblGrid>
      <w:tr w14:paraId="4DE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4517805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700" w:type="pct"/>
            <w:tcBorders>
              <w:top w:val="single" w:color="auto" w:sz="4" w:space="0"/>
              <w:left w:val="single" w:color="auto" w:sz="4" w:space="0"/>
              <w:bottom w:val="single" w:color="auto" w:sz="4" w:space="0"/>
              <w:right w:val="single" w:color="auto" w:sz="4" w:space="0"/>
            </w:tcBorders>
            <w:vAlign w:val="center"/>
          </w:tcPr>
          <w:p w14:paraId="31A2A2F4">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841" w:type="pct"/>
            <w:tcBorders>
              <w:top w:val="single" w:color="auto" w:sz="4" w:space="0"/>
              <w:left w:val="single" w:color="auto" w:sz="4" w:space="0"/>
              <w:bottom w:val="single" w:color="auto" w:sz="4" w:space="0"/>
              <w:right w:val="single" w:color="auto" w:sz="4" w:space="0"/>
            </w:tcBorders>
            <w:vAlign w:val="center"/>
          </w:tcPr>
          <w:p w14:paraId="47524A53">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013" w:type="pct"/>
            <w:tcBorders>
              <w:top w:val="single" w:color="auto" w:sz="4" w:space="0"/>
              <w:left w:val="single" w:color="auto" w:sz="4" w:space="0"/>
              <w:bottom w:val="single" w:color="auto" w:sz="4" w:space="0"/>
              <w:right w:val="single" w:color="auto" w:sz="4" w:space="0"/>
            </w:tcBorders>
            <w:vAlign w:val="center"/>
          </w:tcPr>
          <w:p w14:paraId="3AFA2A45">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w:t>
            </w:r>
            <w:r>
              <w:rPr>
                <w:color w:val="000000" w:themeColor="text1"/>
                <w:sz w:val="24"/>
                <w:highlight w:val="none"/>
                <w14:textFill>
                  <w14:solidFill>
                    <w14:schemeClr w14:val="tx1"/>
                  </w14:solidFill>
                </w14:textFill>
              </w:rPr>
              <w:t>联系人及联系方式</w:t>
            </w:r>
          </w:p>
        </w:tc>
        <w:tc>
          <w:tcPr>
            <w:tcW w:w="578" w:type="pct"/>
            <w:tcBorders>
              <w:top w:val="single" w:color="auto" w:sz="4" w:space="0"/>
              <w:left w:val="single" w:color="auto" w:sz="4" w:space="0"/>
              <w:bottom w:val="single" w:color="auto" w:sz="4" w:space="0"/>
              <w:right w:val="single" w:color="auto" w:sz="4" w:space="0"/>
            </w:tcBorders>
            <w:vAlign w:val="center"/>
          </w:tcPr>
          <w:p w14:paraId="2A3463EC">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414" w:type="pct"/>
            <w:tcBorders>
              <w:top w:val="single" w:color="auto" w:sz="4" w:space="0"/>
              <w:left w:val="single" w:color="auto" w:sz="4" w:space="0"/>
              <w:bottom w:val="single" w:color="auto" w:sz="4" w:space="0"/>
              <w:right w:val="single" w:color="auto" w:sz="4" w:space="0"/>
            </w:tcBorders>
            <w:vAlign w:val="center"/>
          </w:tcPr>
          <w:p w14:paraId="36EA19D2">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用户盖章的成功履行合同的相关证明材料页码</w:t>
            </w:r>
          </w:p>
        </w:tc>
      </w:tr>
      <w:tr w14:paraId="303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24921195">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12B9344F">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6618707F">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52A0A202">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777419D0">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3C0F40C4">
            <w:pPr>
              <w:snapToGrid w:val="0"/>
              <w:jc w:val="center"/>
              <w:rPr>
                <w:color w:val="000000" w:themeColor="text1"/>
                <w:sz w:val="24"/>
                <w:highlight w:val="none"/>
                <w14:textFill>
                  <w14:solidFill>
                    <w14:schemeClr w14:val="tx1"/>
                  </w14:solidFill>
                </w14:textFill>
              </w:rPr>
            </w:pPr>
          </w:p>
        </w:tc>
      </w:tr>
      <w:tr w14:paraId="1D81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66DDFAA2">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6CE50951">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29A35AEB">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7AE3B1D3">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0C29DE4C">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3D41B9CA">
            <w:pPr>
              <w:snapToGrid w:val="0"/>
              <w:jc w:val="center"/>
              <w:rPr>
                <w:color w:val="000000" w:themeColor="text1"/>
                <w:sz w:val="24"/>
                <w:highlight w:val="none"/>
                <w14:textFill>
                  <w14:solidFill>
                    <w14:schemeClr w14:val="tx1"/>
                  </w14:solidFill>
                </w14:textFill>
              </w:rPr>
            </w:pPr>
          </w:p>
        </w:tc>
      </w:tr>
      <w:tr w14:paraId="229B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045B0DF6">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3433541C">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302E836D">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0374AA7E">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2DBD5899">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53FCC198">
            <w:pPr>
              <w:snapToGrid w:val="0"/>
              <w:jc w:val="center"/>
              <w:rPr>
                <w:color w:val="000000" w:themeColor="text1"/>
                <w:sz w:val="24"/>
                <w:highlight w:val="none"/>
                <w14:textFill>
                  <w14:solidFill>
                    <w14:schemeClr w14:val="tx1"/>
                  </w14:solidFill>
                </w14:textFill>
              </w:rPr>
            </w:pPr>
          </w:p>
        </w:tc>
      </w:tr>
      <w:tr w14:paraId="649A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4C279380">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25526E97">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66696F92">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75EA1046">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2F7F3E46">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3F84CC2F">
            <w:pPr>
              <w:snapToGrid w:val="0"/>
              <w:jc w:val="center"/>
              <w:rPr>
                <w:color w:val="000000" w:themeColor="text1"/>
                <w:sz w:val="24"/>
                <w:highlight w:val="none"/>
                <w14:textFill>
                  <w14:solidFill>
                    <w14:schemeClr w14:val="tx1"/>
                  </w14:solidFill>
                </w14:textFill>
              </w:rPr>
            </w:pPr>
          </w:p>
        </w:tc>
      </w:tr>
      <w:tr w14:paraId="108C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0546E9FB">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0C8B07B8">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4CB3E6E6">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2CADE337">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25F290C5">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65A89C99">
            <w:pPr>
              <w:snapToGrid w:val="0"/>
              <w:jc w:val="center"/>
              <w:rPr>
                <w:color w:val="000000" w:themeColor="text1"/>
                <w:sz w:val="24"/>
                <w:highlight w:val="none"/>
                <w14:textFill>
                  <w14:solidFill>
                    <w14:schemeClr w14:val="tx1"/>
                  </w14:solidFill>
                </w14:textFill>
              </w:rPr>
            </w:pPr>
          </w:p>
        </w:tc>
      </w:tr>
      <w:tr w14:paraId="67D7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78543AF8">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526745BC">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5EEB310F">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7FC5FEA3">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69C6AC86">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05D56D85">
            <w:pPr>
              <w:snapToGrid w:val="0"/>
              <w:jc w:val="center"/>
              <w:rPr>
                <w:color w:val="000000" w:themeColor="text1"/>
                <w:sz w:val="24"/>
                <w:highlight w:val="none"/>
                <w14:textFill>
                  <w14:solidFill>
                    <w14:schemeClr w14:val="tx1"/>
                  </w14:solidFill>
                </w14:textFill>
              </w:rPr>
            </w:pPr>
          </w:p>
        </w:tc>
      </w:tr>
      <w:tr w14:paraId="1CE6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4744EBED">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3A1BC04F">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55AD6F0A">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7989B263">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328D856A">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7A43FA50">
            <w:pPr>
              <w:snapToGrid w:val="0"/>
              <w:jc w:val="center"/>
              <w:rPr>
                <w:color w:val="000000" w:themeColor="text1"/>
                <w:sz w:val="24"/>
                <w:highlight w:val="none"/>
                <w14:textFill>
                  <w14:solidFill>
                    <w14:schemeClr w14:val="tx1"/>
                  </w14:solidFill>
                </w14:textFill>
              </w:rPr>
            </w:pPr>
          </w:p>
        </w:tc>
      </w:tr>
      <w:tr w14:paraId="7CDF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5BA7AC86">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4A9272D6">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6F4C53A1">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5E314A29">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23F6FEB5">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55962A3D">
            <w:pPr>
              <w:snapToGrid w:val="0"/>
              <w:jc w:val="center"/>
              <w:rPr>
                <w:color w:val="000000" w:themeColor="text1"/>
                <w:sz w:val="24"/>
                <w:highlight w:val="none"/>
                <w14:textFill>
                  <w14:solidFill>
                    <w14:schemeClr w14:val="tx1"/>
                  </w14:solidFill>
                </w14:textFill>
              </w:rPr>
            </w:pPr>
          </w:p>
        </w:tc>
      </w:tr>
      <w:tr w14:paraId="6B9D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1BC3D062">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421DEFC8">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11849DA2">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279FF864">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3F08D212">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506FC9CA">
            <w:pPr>
              <w:snapToGrid w:val="0"/>
              <w:jc w:val="center"/>
              <w:rPr>
                <w:color w:val="000000" w:themeColor="text1"/>
                <w:sz w:val="24"/>
                <w:highlight w:val="none"/>
                <w14:textFill>
                  <w14:solidFill>
                    <w14:schemeClr w14:val="tx1"/>
                  </w14:solidFill>
                </w14:textFill>
              </w:rPr>
            </w:pPr>
          </w:p>
        </w:tc>
      </w:tr>
      <w:tr w14:paraId="736A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0812FE68">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5BB69181">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05F8E4C6">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386D2A6A">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4F00FDF9">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741C0EA6">
            <w:pPr>
              <w:snapToGrid w:val="0"/>
              <w:jc w:val="center"/>
              <w:rPr>
                <w:color w:val="000000" w:themeColor="text1"/>
                <w:sz w:val="24"/>
                <w:highlight w:val="none"/>
                <w14:textFill>
                  <w14:solidFill>
                    <w14:schemeClr w14:val="tx1"/>
                  </w14:solidFill>
                </w14:textFill>
              </w:rPr>
            </w:pPr>
          </w:p>
        </w:tc>
      </w:tr>
      <w:tr w14:paraId="6F4D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66C52A53">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34F58F97">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4B925ABD">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48AFD80E">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1D00714C">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35072CC7">
            <w:pPr>
              <w:snapToGrid w:val="0"/>
              <w:jc w:val="center"/>
              <w:rPr>
                <w:color w:val="000000" w:themeColor="text1"/>
                <w:sz w:val="24"/>
                <w:highlight w:val="none"/>
                <w14:textFill>
                  <w14:solidFill>
                    <w14:schemeClr w14:val="tx1"/>
                  </w14:solidFill>
                </w14:textFill>
              </w:rPr>
            </w:pPr>
          </w:p>
        </w:tc>
      </w:tr>
    </w:tbl>
    <w:p w14:paraId="10661B78">
      <w:pPr>
        <w:spacing w:line="560" w:lineRule="exact"/>
        <w:jc w:val="center"/>
        <w:rPr>
          <w:color w:val="000000" w:themeColor="text1"/>
          <w:sz w:val="24"/>
          <w:highlight w:val="none"/>
          <w14:textFill>
            <w14:solidFill>
              <w14:schemeClr w14:val="tx1"/>
            </w14:solidFill>
          </w14:textFill>
        </w:rPr>
      </w:pPr>
    </w:p>
    <w:p w14:paraId="383877A0">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w:t>
      </w:r>
      <w:r>
        <w:rPr>
          <w:rFonts w:hint="eastAsia"/>
          <w:color w:val="000000" w:themeColor="text1"/>
          <w:sz w:val="24"/>
          <w:highlight w:val="none"/>
          <w14:textFill>
            <w14:solidFill>
              <w14:schemeClr w14:val="tx1"/>
            </w14:solidFill>
          </w14:textFill>
        </w:rPr>
        <w:t>磋商文件第二部分评分因素及评标标准中</w:t>
      </w:r>
      <w:r>
        <w:rPr>
          <w:color w:val="000000" w:themeColor="text1"/>
          <w:sz w:val="24"/>
          <w:highlight w:val="none"/>
          <w14:textFill>
            <w14:solidFill>
              <w14:schemeClr w14:val="tx1"/>
            </w14:solidFill>
          </w14:textFill>
        </w:rPr>
        <w:t>要求提供</w:t>
      </w:r>
      <w:r>
        <w:rPr>
          <w:rFonts w:hint="eastAsia"/>
          <w:color w:val="000000" w:themeColor="text1"/>
          <w:sz w:val="24"/>
          <w:highlight w:val="none"/>
          <w14:textFill>
            <w14:solidFill>
              <w14:schemeClr w14:val="tx1"/>
            </w14:solidFill>
          </w14:textFill>
        </w:rPr>
        <w:t>业绩</w:t>
      </w:r>
      <w:r>
        <w:rPr>
          <w:color w:val="000000" w:themeColor="text1"/>
          <w:sz w:val="24"/>
          <w:highlight w:val="none"/>
          <w14:textFill>
            <w14:solidFill>
              <w14:schemeClr w14:val="tx1"/>
            </w14:solidFill>
          </w14:textFill>
        </w:rPr>
        <w:t>的，供应商所列业绩应按其要求将证明材料按顺序附后。</w:t>
      </w:r>
    </w:p>
    <w:p w14:paraId="69521555">
      <w:pPr>
        <w:spacing w:line="560" w:lineRule="exact"/>
        <w:rPr>
          <w:color w:val="000000" w:themeColor="text1"/>
          <w:sz w:val="24"/>
          <w:highlight w:val="none"/>
          <w14:textFill>
            <w14:solidFill>
              <w14:schemeClr w14:val="tx1"/>
            </w14:solidFill>
          </w14:textFill>
        </w:rPr>
      </w:pPr>
    </w:p>
    <w:p w14:paraId="0D09406A">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36F8D084">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2641FAA">
      <w:pPr>
        <w:spacing w:line="460" w:lineRule="exact"/>
        <w:ind w:left="180"/>
        <w:rPr>
          <w:color w:val="000000" w:themeColor="text1"/>
          <w:sz w:val="24"/>
          <w:highlight w:val="none"/>
          <w14:textFill>
            <w14:solidFill>
              <w14:schemeClr w14:val="tx1"/>
            </w14:solidFill>
          </w14:textFill>
        </w:rPr>
      </w:pPr>
    </w:p>
    <w:p w14:paraId="561F69B7">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附件8</w:t>
      </w:r>
    </w:p>
    <w:p w14:paraId="0E276ABA">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制造商售后服务承诺</w:t>
      </w:r>
    </w:p>
    <w:p w14:paraId="1936128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8"/>
        <w:gridCol w:w="6838"/>
      </w:tblGrid>
      <w:tr w14:paraId="5E16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4A70836E">
            <w:pPr>
              <w:pStyle w:val="7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596EDF03">
            <w:pPr>
              <w:pStyle w:val="7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0D6E5DF2">
            <w:pPr>
              <w:pStyle w:val="7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73A5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8755E4C">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39AF512B">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15C9A402">
            <w:pPr>
              <w:pStyle w:val="70"/>
              <w:spacing w:line="360" w:lineRule="auto"/>
              <w:rPr>
                <w:rFonts w:cs="Arial"/>
                <w:bCs/>
                <w:color w:val="000000" w:themeColor="text1"/>
                <w:sz w:val="24"/>
                <w:highlight w:val="none"/>
                <w14:textFill>
                  <w14:solidFill>
                    <w14:schemeClr w14:val="tx1"/>
                  </w14:solidFill>
                </w14:textFill>
              </w:rPr>
            </w:pPr>
          </w:p>
        </w:tc>
      </w:tr>
      <w:tr w14:paraId="4DB9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3358935F">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681A7E8C">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5B75B54C">
            <w:pPr>
              <w:pStyle w:val="70"/>
              <w:spacing w:line="360" w:lineRule="auto"/>
              <w:rPr>
                <w:rFonts w:cs="Arial"/>
                <w:bCs/>
                <w:color w:val="000000" w:themeColor="text1"/>
                <w:sz w:val="24"/>
                <w:highlight w:val="none"/>
                <w14:textFill>
                  <w14:solidFill>
                    <w14:schemeClr w14:val="tx1"/>
                  </w14:solidFill>
                </w14:textFill>
              </w:rPr>
            </w:pPr>
          </w:p>
        </w:tc>
      </w:tr>
      <w:tr w14:paraId="58CB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4E93019A">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78B15113">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458047D4">
            <w:pPr>
              <w:pStyle w:val="70"/>
              <w:spacing w:line="360" w:lineRule="auto"/>
              <w:rPr>
                <w:rFonts w:cs="Arial"/>
                <w:bCs/>
                <w:color w:val="000000" w:themeColor="text1"/>
                <w:sz w:val="24"/>
                <w:highlight w:val="none"/>
                <w14:textFill>
                  <w14:solidFill>
                    <w14:schemeClr w14:val="tx1"/>
                  </w14:solidFill>
                </w14:textFill>
              </w:rPr>
            </w:pPr>
          </w:p>
          <w:p w14:paraId="655068A7">
            <w:pPr>
              <w:pStyle w:val="70"/>
              <w:spacing w:line="360" w:lineRule="auto"/>
              <w:rPr>
                <w:rFonts w:cs="Arial"/>
                <w:bCs/>
                <w:color w:val="000000" w:themeColor="text1"/>
                <w:sz w:val="24"/>
                <w:highlight w:val="none"/>
                <w14:textFill>
                  <w14:solidFill>
                    <w14:schemeClr w14:val="tx1"/>
                  </w14:solidFill>
                </w14:textFill>
              </w:rPr>
            </w:pPr>
          </w:p>
        </w:tc>
      </w:tr>
      <w:tr w14:paraId="382D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1D1CBA93">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722E61A1">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78646195">
            <w:pPr>
              <w:pStyle w:val="70"/>
              <w:spacing w:line="360" w:lineRule="auto"/>
              <w:rPr>
                <w:rFonts w:cs="Arial"/>
                <w:bCs/>
                <w:color w:val="000000" w:themeColor="text1"/>
                <w:sz w:val="24"/>
                <w:highlight w:val="none"/>
                <w14:textFill>
                  <w14:solidFill>
                    <w14:schemeClr w14:val="tx1"/>
                  </w14:solidFill>
                </w14:textFill>
              </w:rPr>
            </w:pPr>
          </w:p>
          <w:p w14:paraId="3E009A53">
            <w:pPr>
              <w:pStyle w:val="70"/>
              <w:spacing w:line="360" w:lineRule="auto"/>
              <w:rPr>
                <w:rFonts w:cs="Arial"/>
                <w:bCs/>
                <w:color w:val="000000" w:themeColor="text1"/>
                <w:sz w:val="24"/>
                <w:highlight w:val="none"/>
                <w14:textFill>
                  <w14:solidFill>
                    <w14:schemeClr w14:val="tx1"/>
                  </w14:solidFill>
                </w14:textFill>
              </w:rPr>
            </w:pPr>
          </w:p>
        </w:tc>
      </w:tr>
    </w:tbl>
    <w:p w14:paraId="3801EC5D">
      <w:pPr>
        <w:spacing w:line="620" w:lineRule="exact"/>
        <w:rPr>
          <w:color w:val="000000" w:themeColor="text1"/>
          <w:sz w:val="24"/>
          <w:highlight w:val="none"/>
          <w14:textFill>
            <w14:solidFill>
              <w14:schemeClr w14:val="tx1"/>
            </w14:solidFill>
          </w14:textFill>
        </w:rPr>
      </w:pPr>
    </w:p>
    <w:p w14:paraId="3CD57C7C">
      <w:pPr>
        <w:spacing w:line="360" w:lineRule="auto"/>
        <w:ind w:firstLine="4080" w:firstLineChars="17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制造商（加盖制造商公章）：</w:t>
      </w:r>
    </w:p>
    <w:p w14:paraId="65156C93">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1F320D8">
      <w:pPr>
        <w:snapToGrid w:val="0"/>
        <w:spacing w:line="360" w:lineRule="auto"/>
        <w:rPr>
          <w:color w:val="000000" w:themeColor="text1"/>
          <w:sz w:val="24"/>
          <w:szCs w:val="21"/>
          <w:highlight w:val="none"/>
          <w14:textFill>
            <w14:solidFill>
              <w14:schemeClr w14:val="tx1"/>
            </w14:solidFill>
          </w14:textFill>
        </w:rPr>
      </w:pPr>
    </w:p>
    <w:p w14:paraId="673F9EFC">
      <w:pPr>
        <w:snapToGrid w:val="0"/>
        <w:spacing w:line="360" w:lineRule="auto"/>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注：制造商售后服务承诺须加盖制造商公章原件扫描后放入电子响应文件，否则不予认定。</w:t>
      </w:r>
    </w:p>
    <w:p w14:paraId="0EC32350">
      <w:pPr>
        <w:rPr>
          <w:color w:val="000000" w:themeColor="text1"/>
          <w:highlight w:val="none"/>
          <w14:textFill>
            <w14:solidFill>
              <w14:schemeClr w14:val="tx1"/>
            </w14:solidFill>
          </w14:textFill>
        </w:rPr>
      </w:pPr>
    </w:p>
    <w:p w14:paraId="6F2E5E8B">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60EDFA52">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供应商售后服务承诺</w:t>
      </w:r>
    </w:p>
    <w:p w14:paraId="24A9177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8"/>
        <w:gridCol w:w="6838"/>
      </w:tblGrid>
      <w:tr w14:paraId="59B4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05F738B5">
            <w:pPr>
              <w:pStyle w:val="7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78473BDC">
            <w:pPr>
              <w:pStyle w:val="7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5FD06B65">
            <w:pPr>
              <w:pStyle w:val="7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738B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B25B8C5">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412E1AC8">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20C653DC">
            <w:pPr>
              <w:pStyle w:val="70"/>
              <w:spacing w:line="360" w:lineRule="auto"/>
              <w:rPr>
                <w:rFonts w:cs="Arial"/>
                <w:bCs/>
                <w:color w:val="000000" w:themeColor="text1"/>
                <w:sz w:val="24"/>
                <w:highlight w:val="none"/>
                <w14:textFill>
                  <w14:solidFill>
                    <w14:schemeClr w14:val="tx1"/>
                  </w14:solidFill>
                </w14:textFill>
              </w:rPr>
            </w:pPr>
          </w:p>
        </w:tc>
      </w:tr>
      <w:tr w14:paraId="72F9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5635E32C">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6C5903CC">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2DF389C5">
            <w:pPr>
              <w:pStyle w:val="70"/>
              <w:spacing w:line="360" w:lineRule="auto"/>
              <w:rPr>
                <w:rFonts w:cs="Arial"/>
                <w:bCs/>
                <w:color w:val="000000" w:themeColor="text1"/>
                <w:sz w:val="24"/>
                <w:highlight w:val="none"/>
                <w14:textFill>
                  <w14:solidFill>
                    <w14:schemeClr w14:val="tx1"/>
                  </w14:solidFill>
                </w14:textFill>
              </w:rPr>
            </w:pPr>
          </w:p>
        </w:tc>
      </w:tr>
      <w:tr w14:paraId="0704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70E2875">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5532F8BA">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1F7CEAD0">
            <w:pPr>
              <w:pStyle w:val="70"/>
              <w:spacing w:line="360" w:lineRule="auto"/>
              <w:rPr>
                <w:rFonts w:cs="Arial"/>
                <w:bCs/>
                <w:color w:val="000000" w:themeColor="text1"/>
                <w:sz w:val="24"/>
                <w:highlight w:val="none"/>
                <w14:textFill>
                  <w14:solidFill>
                    <w14:schemeClr w14:val="tx1"/>
                  </w14:solidFill>
                </w14:textFill>
              </w:rPr>
            </w:pPr>
          </w:p>
          <w:p w14:paraId="1648EEFA">
            <w:pPr>
              <w:pStyle w:val="70"/>
              <w:spacing w:line="360" w:lineRule="auto"/>
              <w:rPr>
                <w:rFonts w:cs="Arial"/>
                <w:bCs/>
                <w:color w:val="000000" w:themeColor="text1"/>
                <w:sz w:val="24"/>
                <w:highlight w:val="none"/>
                <w14:textFill>
                  <w14:solidFill>
                    <w14:schemeClr w14:val="tx1"/>
                  </w14:solidFill>
                </w14:textFill>
              </w:rPr>
            </w:pPr>
          </w:p>
        </w:tc>
      </w:tr>
      <w:tr w14:paraId="5F0E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AD08F63">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0E19B683">
            <w:pPr>
              <w:pStyle w:val="7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0B7B8880">
            <w:pPr>
              <w:pStyle w:val="70"/>
              <w:spacing w:line="360" w:lineRule="auto"/>
              <w:rPr>
                <w:rFonts w:cs="Arial"/>
                <w:bCs/>
                <w:color w:val="000000" w:themeColor="text1"/>
                <w:sz w:val="24"/>
                <w:highlight w:val="none"/>
                <w14:textFill>
                  <w14:solidFill>
                    <w14:schemeClr w14:val="tx1"/>
                  </w14:solidFill>
                </w14:textFill>
              </w:rPr>
            </w:pPr>
          </w:p>
          <w:p w14:paraId="1D303FDD">
            <w:pPr>
              <w:pStyle w:val="70"/>
              <w:spacing w:line="360" w:lineRule="auto"/>
              <w:rPr>
                <w:rFonts w:cs="Arial"/>
                <w:bCs/>
                <w:color w:val="000000" w:themeColor="text1"/>
                <w:sz w:val="24"/>
                <w:highlight w:val="none"/>
                <w14:textFill>
                  <w14:solidFill>
                    <w14:schemeClr w14:val="tx1"/>
                  </w14:solidFill>
                </w14:textFill>
              </w:rPr>
            </w:pPr>
          </w:p>
        </w:tc>
      </w:tr>
    </w:tbl>
    <w:p w14:paraId="53C05CEC">
      <w:pPr>
        <w:spacing w:line="620" w:lineRule="exact"/>
        <w:rPr>
          <w:color w:val="000000" w:themeColor="text1"/>
          <w:sz w:val="24"/>
          <w:highlight w:val="none"/>
          <w14:textFill>
            <w14:solidFill>
              <w14:schemeClr w14:val="tx1"/>
            </w14:solidFill>
          </w14:textFill>
        </w:rPr>
      </w:pPr>
    </w:p>
    <w:p w14:paraId="15B9B21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0FF2B6F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6D62C114">
      <w:pPr>
        <w:spacing w:line="620" w:lineRule="exact"/>
        <w:rPr>
          <w:color w:val="000000" w:themeColor="text1"/>
          <w:sz w:val="24"/>
          <w:highlight w:val="none"/>
          <w14:textFill>
            <w14:solidFill>
              <w14:schemeClr w14:val="tx1"/>
            </w14:solidFill>
          </w14:textFill>
        </w:rPr>
      </w:pPr>
    </w:p>
    <w:p w14:paraId="00960CD0">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9</w:t>
      </w:r>
    </w:p>
    <w:p w14:paraId="17763473">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投标产品配置清单</w:t>
      </w:r>
    </w:p>
    <w:p w14:paraId="2CC6CBB0">
      <w:pPr>
        <w:spacing w:line="560" w:lineRule="exact"/>
        <w:jc w:val="center"/>
        <w:rPr>
          <w:rFonts w:eastAsia="仿宋"/>
          <w:color w:val="000000" w:themeColor="text1"/>
          <w:sz w:val="32"/>
          <w:highlight w:val="none"/>
          <w14:textFill>
            <w14:solidFill>
              <w14:schemeClr w14:val="tx1"/>
            </w14:solidFill>
          </w14:textFill>
        </w:rPr>
      </w:pPr>
    </w:p>
    <w:p w14:paraId="6180EED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A57DD1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7C9FD93">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B119CAF">
      <w:pPr>
        <w:spacing w:line="460" w:lineRule="exact"/>
        <w:rPr>
          <w:color w:val="000000" w:themeColor="text1"/>
          <w:sz w:val="24"/>
          <w:highlight w:val="none"/>
          <w:u w:val="single"/>
          <w14:textFill>
            <w14:solidFill>
              <w14:schemeClr w14:val="tx1"/>
            </w14:solidFill>
          </w14:textFill>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698"/>
        <w:gridCol w:w="1560"/>
        <w:gridCol w:w="4304"/>
      </w:tblGrid>
      <w:tr w14:paraId="5537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1DB4CCD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shd w:val="clear" w:color="auto" w:fill="auto"/>
            <w:vAlign w:val="center"/>
          </w:tcPr>
          <w:p w14:paraId="3C22A02E">
            <w:pPr>
              <w:spacing w:line="5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标的</w:t>
            </w:r>
            <w:r>
              <w:rPr>
                <w:color w:val="000000" w:themeColor="text1"/>
                <w:sz w:val="24"/>
                <w:highlight w:val="none"/>
                <w14:textFill>
                  <w14:solidFill>
                    <w14:schemeClr w14:val="tx1"/>
                  </w14:solidFill>
                </w14:textFill>
              </w:rPr>
              <w:t>名称</w:t>
            </w:r>
          </w:p>
        </w:tc>
        <w:tc>
          <w:tcPr>
            <w:tcW w:w="915" w:type="pct"/>
            <w:shd w:val="clear" w:color="auto" w:fill="auto"/>
            <w:vAlign w:val="center"/>
          </w:tcPr>
          <w:p w14:paraId="1767E34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shd w:val="clear" w:color="auto" w:fill="auto"/>
            <w:vAlign w:val="center"/>
          </w:tcPr>
          <w:p w14:paraId="0786B0C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14:paraId="2781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4B11792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shd w:val="clear" w:color="auto" w:fill="auto"/>
            <w:vAlign w:val="center"/>
          </w:tcPr>
          <w:p w14:paraId="7860BB0E">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31F500A6">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1F269DD3">
            <w:pPr>
              <w:spacing w:line="560" w:lineRule="exact"/>
              <w:jc w:val="center"/>
              <w:rPr>
                <w:color w:val="000000" w:themeColor="text1"/>
                <w:sz w:val="24"/>
                <w:highlight w:val="none"/>
                <w14:textFill>
                  <w14:solidFill>
                    <w14:schemeClr w14:val="tx1"/>
                  </w14:solidFill>
                </w14:textFill>
              </w:rPr>
            </w:pPr>
          </w:p>
        </w:tc>
      </w:tr>
      <w:tr w14:paraId="2271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294CAA4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shd w:val="clear" w:color="auto" w:fill="auto"/>
            <w:vAlign w:val="center"/>
          </w:tcPr>
          <w:p w14:paraId="7D2C59AC">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2979286D">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2810AAB3">
            <w:pPr>
              <w:spacing w:line="560" w:lineRule="exact"/>
              <w:jc w:val="center"/>
              <w:rPr>
                <w:color w:val="000000" w:themeColor="text1"/>
                <w:sz w:val="24"/>
                <w:highlight w:val="none"/>
                <w14:textFill>
                  <w14:solidFill>
                    <w14:schemeClr w14:val="tx1"/>
                  </w14:solidFill>
                </w14:textFill>
              </w:rPr>
            </w:pPr>
          </w:p>
        </w:tc>
      </w:tr>
      <w:tr w14:paraId="5878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742FF26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shd w:val="clear" w:color="auto" w:fill="auto"/>
            <w:vAlign w:val="center"/>
          </w:tcPr>
          <w:p w14:paraId="6E730E51">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4EF91C8E">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45C9596A">
            <w:pPr>
              <w:spacing w:line="560" w:lineRule="exact"/>
              <w:jc w:val="center"/>
              <w:rPr>
                <w:color w:val="000000" w:themeColor="text1"/>
                <w:sz w:val="24"/>
                <w:highlight w:val="none"/>
                <w14:textFill>
                  <w14:solidFill>
                    <w14:schemeClr w14:val="tx1"/>
                  </w14:solidFill>
                </w14:textFill>
              </w:rPr>
            </w:pPr>
          </w:p>
        </w:tc>
      </w:tr>
      <w:tr w14:paraId="0E00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1060FEF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shd w:val="clear" w:color="auto" w:fill="auto"/>
            <w:vAlign w:val="center"/>
          </w:tcPr>
          <w:p w14:paraId="7422072B">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5879FAB9">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5A948005">
            <w:pPr>
              <w:spacing w:line="560" w:lineRule="exact"/>
              <w:jc w:val="center"/>
              <w:rPr>
                <w:color w:val="000000" w:themeColor="text1"/>
                <w:sz w:val="24"/>
                <w:highlight w:val="none"/>
                <w14:textFill>
                  <w14:solidFill>
                    <w14:schemeClr w14:val="tx1"/>
                  </w14:solidFill>
                </w14:textFill>
              </w:rPr>
            </w:pPr>
          </w:p>
        </w:tc>
      </w:tr>
    </w:tbl>
    <w:p w14:paraId="35EAA7EF">
      <w:pPr>
        <w:spacing w:line="560" w:lineRule="exact"/>
        <w:jc w:val="left"/>
        <w:rPr>
          <w:color w:val="000000" w:themeColor="text1"/>
          <w:sz w:val="24"/>
          <w:highlight w:val="none"/>
          <w14:textFill>
            <w14:solidFill>
              <w14:schemeClr w14:val="tx1"/>
            </w14:solidFill>
          </w14:textFill>
        </w:rPr>
      </w:pPr>
    </w:p>
    <w:p w14:paraId="06395DD6">
      <w:pPr>
        <w:spacing w:line="560" w:lineRule="exact"/>
        <w:jc w:val="left"/>
        <w:rPr>
          <w:color w:val="000000" w:themeColor="text1"/>
          <w:sz w:val="24"/>
          <w:highlight w:val="none"/>
          <w14:textFill>
            <w14:solidFill>
              <w14:schemeClr w14:val="tx1"/>
            </w14:solidFill>
          </w14:textFill>
        </w:rPr>
      </w:pPr>
    </w:p>
    <w:p w14:paraId="61D17E55">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3CE8676F">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AD4DE06">
      <w:pPr>
        <w:spacing w:line="360" w:lineRule="auto"/>
        <w:outlineLvl w:val="0"/>
        <w:rPr>
          <w:color w:val="000000" w:themeColor="text1"/>
          <w:sz w:val="24"/>
          <w:highlight w:val="none"/>
          <w14:textFill>
            <w14:solidFill>
              <w14:schemeClr w14:val="tx1"/>
            </w14:solidFill>
          </w14:textFill>
        </w:rPr>
      </w:pPr>
    </w:p>
    <w:p w14:paraId="135657B6">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10</w:t>
      </w:r>
    </w:p>
    <w:p w14:paraId="726F9830">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中小企业声明函（货物）</w:t>
      </w:r>
    </w:p>
    <w:p w14:paraId="3E2E56AF">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本公司（联合体）郑重声明，针对本项目提供的货物</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请填写有/无）</w:t>
      </w:r>
      <w:r>
        <w:rPr>
          <w:color w:val="000000" w:themeColor="text1"/>
          <w:sz w:val="24"/>
          <w:szCs w:val="24"/>
          <w:highlight w:val="none"/>
          <w14:textFill>
            <w14:solidFill>
              <w14:schemeClr w14:val="tx1"/>
            </w14:solidFill>
          </w14:textFill>
        </w:rPr>
        <w:t>大型企业制造的货物。</w:t>
      </w:r>
      <w:r>
        <w:rPr>
          <w:b/>
          <w:color w:val="000000" w:themeColor="text1"/>
          <w:sz w:val="24"/>
          <w:szCs w:val="24"/>
          <w:highlight w:val="none"/>
          <w14:textFill>
            <w14:solidFill>
              <w14:schemeClr w14:val="tx1"/>
            </w14:solidFill>
          </w14:textFill>
        </w:rPr>
        <w:t>（若有大型企业制造的货物，则无需填写以下内容；若无大型企业制造的货物，则继续填写以下内容）</w:t>
      </w:r>
    </w:p>
    <w:p w14:paraId="12C04B1F">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60EAC0A">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2BEAFC49">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70DD51B6">
      <w:pPr>
        <w:autoSpaceDE w:val="0"/>
        <w:autoSpaceDN w:val="0"/>
        <w:spacing w:line="500" w:lineRule="exact"/>
        <w:ind w:left="641"/>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p w14:paraId="7594A11C">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61F5A1E3">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27505EE7">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51558ACD">
      <w:pPr>
        <w:autoSpaceDE w:val="0"/>
        <w:autoSpaceDN w:val="0"/>
        <w:spacing w:line="500" w:lineRule="exact"/>
        <w:ind w:left="3840"/>
        <w:jc w:val="lef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9BAADDE">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69ACFDDB">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清单”中明确的标的名称进行填写；所属行业须按照采购文件中明确的所属行业进行填写，否则不享受中小企业扶持政策。</w:t>
      </w:r>
    </w:p>
    <w:p w14:paraId="2C939D17">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35FE4FBA">
      <w:pPr>
        <w:spacing w:line="360" w:lineRule="auto"/>
        <w:ind w:right="84" w:firstLine="241" w:firstLineChars="1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3.中标（成交）供应商享受中小企业扶持政策的，将随中标（成交）结果同时公告其《中小企业声明函》，接受社会监督。</w:t>
      </w:r>
    </w:p>
    <w:p w14:paraId="78455A46">
      <w:pPr>
        <w:widowControl/>
        <w:jc w:val="left"/>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br w:type="page"/>
      </w:r>
    </w:p>
    <w:p w14:paraId="17A5291E">
      <w:pPr>
        <w:autoSpaceDN w:val="0"/>
        <w:spacing w:line="360" w:lineRule="auto"/>
        <w:rPr>
          <w:b/>
          <w:color w:val="000000" w:themeColor="text1"/>
          <w:kern w:val="0"/>
          <w:sz w:val="24"/>
          <w:szCs w:val="21"/>
          <w:highlight w:val="none"/>
          <w14:textFill>
            <w14:solidFill>
              <w14:schemeClr w14:val="tx1"/>
            </w14:solidFill>
          </w14:textFill>
        </w:rPr>
      </w:pPr>
    </w:p>
    <w:p w14:paraId="362716C7">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若不是残疾人福利性单位，响应文件中可不提供此声明函</w:t>
      </w:r>
    </w:p>
    <w:p w14:paraId="14A19096">
      <w:pPr>
        <w:autoSpaceDN w:val="0"/>
        <w:spacing w:line="360" w:lineRule="auto"/>
        <w:jc w:val="center"/>
        <w:rPr>
          <w:b/>
          <w:bCs/>
          <w:color w:val="000000" w:themeColor="text1"/>
          <w:sz w:val="24"/>
          <w:highlight w:val="none"/>
          <w14:textFill>
            <w14:solidFill>
              <w14:schemeClr w14:val="tx1"/>
            </w14:solidFill>
          </w14:textFill>
        </w:rPr>
      </w:pPr>
    </w:p>
    <w:p w14:paraId="15347820">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18F12EDB">
      <w:pPr>
        <w:snapToGrid w:val="0"/>
        <w:spacing w:line="360" w:lineRule="auto"/>
        <w:ind w:firstLine="482" w:firstLineChars="200"/>
        <w:jc w:val="left"/>
        <w:rPr>
          <w:b/>
          <w:bCs/>
          <w:color w:val="000000" w:themeColor="text1"/>
          <w:sz w:val="24"/>
          <w:highlight w:val="none"/>
          <w14:textFill>
            <w14:solidFill>
              <w14:schemeClr w14:val="tx1"/>
            </w14:solidFill>
          </w14:textFill>
        </w:rPr>
      </w:pPr>
    </w:p>
    <w:p w14:paraId="779F491E">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4C501A1">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04DC4F8A">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2E410A4">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525F1D32">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25EFFB28">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0282E7E8">
      <w:pPr>
        <w:snapToGrid w:val="0"/>
        <w:spacing w:line="360" w:lineRule="auto"/>
        <w:ind w:firstLine="480"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73074F7F">
      <w:pPr>
        <w:snapToGrid w:val="0"/>
        <w:spacing w:line="360" w:lineRule="auto"/>
        <w:ind w:firstLine="480" w:firstLineChars="200"/>
        <w:jc w:val="left"/>
        <w:rPr>
          <w:color w:val="000000" w:themeColor="text1"/>
          <w:sz w:val="24"/>
          <w:szCs w:val="21"/>
          <w:highlight w:val="none"/>
          <w14:textFill>
            <w14:solidFill>
              <w14:schemeClr w14:val="tx1"/>
            </w14:solidFill>
          </w14:textFill>
        </w:rPr>
      </w:pPr>
    </w:p>
    <w:p w14:paraId="7A81BF62">
      <w:pPr>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5E981A4C">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中标（成交）供应商为残疾人福利性单位的，将随中标（成交）结果同时公告其《残疾人福利性单位声明函》，接受社会监督。</w:t>
      </w:r>
    </w:p>
    <w:p w14:paraId="0C35ADA7">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0253A38F">
      <w:pPr>
        <w:snapToGrid w:val="0"/>
        <w:spacing w:line="360" w:lineRule="auto"/>
        <w:rPr>
          <w:color w:val="000000" w:themeColor="text1"/>
          <w:sz w:val="24"/>
          <w:szCs w:val="21"/>
          <w:highlight w:val="none"/>
          <w14:textFill>
            <w14:solidFill>
              <w14:schemeClr w14:val="tx1"/>
            </w14:solidFill>
          </w14:textFill>
        </w:rPr>
      </w:pPr>
    </w:p>
    <w:p w14:paraId="5DB647CA">
      <w:pPr>
        <w:snapToGrid w:val="0"/>
        <w:spacing w:line="360" w:lineRule="auto"/>
        <w:rPr>
          <w:color w:val="000000" w:themeColor="text1"/>
          <w:sz w:val="24"/>
          <w:szCs w:val="21"/>
          <w:highlight w:val="none"/>
          <w14:textFill>
            <w14:solidFill>
              <w14:schemeClr w14:val="tx1"/>
            </w14:solidFill>
          </w14:textFill>
        </w:rPr>
      </w:pPr>
    </w:p>
    <w:p w14:paraId="34ECFBFC">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028BB6BC">
      <w:pPr>
        <w:spacing w:line="460" w:lineRule="exact"/>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附件11</w:t>
      </w:r>
    </w:p>
    <w:p w14:paraId="44EE0903">
      <w:pPr>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供应商认为需要提交的其他资料</w:t>
      </w:r>
    </w:p>
    <w:p w14:paraId="7ADC9334">
      <w:pPr>
        <w:spacing w:line="460" w:lineRule="exact"/>
        <w:ind w:left="192"/>
        <w:rPr>
          <w:b/>
          <w:color w:val="000000" w:themeColor="text1"/>
          <w:sz w:val="24"/>
          <w:highlight w:val="none"/>
          <w14:textFill>
            <w14:solidFill>
              <w14:schemeClr w14:val="tx1"/>
            </w14:solidFill>
          </w14:textFill>
        </w:rPr>
      </w:pPr>
    </w:p>
    <w:p w14:paraId="7B081DEF">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1715755">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743014F1">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xml:space="preserve">（ </w:t>
      </w:r>
      <w:r>
        <w:rPr>
          <w:rFonts w:hint="eastAsia" w:eastAsia="楷体_GB2312"/>
          <w:b/>
          <w:color w:val="000000" w:themeColor="text1"/>
          <w:kern w:val="0"/>
          <w:sz w:val="36"/>
          <w:szCs w:val="36"/>
          <w:highlight w:val="none"/>
          <w14:textFill>
            <w14:solidFill>
              <w14:schemeClr w14:val="tx1"/>
            </w14:solidFill>
          </w14:textFill>
        </w:rPr>
        <w:t>加盖电子签章</w:t>
      </w:r>
      <w:r>
        <w:rPr>
          <w:rFonts w:eastAsia="楷体_GB2312"/>
          <w:b/>
          <w:color w:val="000000" w:themeColor="text1"/>
          <w:kern w:val="0"/>
          <w:sz w:val="36"/>
          <w:szCs w:val="36"/>
          <w:highlight w:val="none"/>
          <w14:textFill>
            <w14:solidFill>
              <w14:schemeClr w14:val="tx1"/>
            </w14:solidFill>
          </w14:textFill>
        </w:rPr>
        <w:t xml:space="preserve"> ）</w:t>
      </w:r>
    </w:p>
    <w:p w14:paraId="73A0632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6B09A3DD">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第二阶段</w:t>
      </w:r>
      <w:r>
        <w:rPr>
          <w:rFonts w:hint="eastAsia"/>
          <w:b/>
          <w:color w:val="000000" w:themeColor="text1"/>
          <w:kern w:val="0"/>
          <w:sz w:val="24"/>
          <w:highlight w:val="none"/>
          <w14:textFill>
            <w14:solidFill>
              <w14:schemeClr w14:val="tx1"/>
            </w14:solidFill>
          </w14:textFill>
        </w:rPr>
        <w:t>响应</w:t>
      </w:r>
      <w:r>
        <w:rPr>
          <w:b/>
          <w:color w:val="000000" w:themeColor="text1"/>
          <w:kern w:val="0"/>
          <w:sz w:val="24"/>
          <w:highlight w:val="none"/>
          <w14:textFill>
            <w14:solidFill>
              <w14:schemeClr w14:val="tx1"/>
            </w14:solidFill>
          </w14:textFill>
        </w:rPr>
        <w:t>文件</w:t>
      </w:r>
    </w:p>
    <w:p w14:paraId="6BE0527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17C9735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265A495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70BC50B1">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所 投 包 号：</w:t>
      </w:r>
    </w:p>
    <w:p w14:paraId="03707816">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0CBB991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13EDE56C">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28872BB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64A3D56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7C3EC1C8">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0E9D0F0B">
      <w:pPr>
        <w:tabs>
          <w:tab w:val="left" w:pos="360"/>
        </w:tabs>
        <w:spacing w:line="5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14:paraId="3A56D65D">
      <w:pPr>
        <w:tabs>
          <w:tab w:val="left" w:pos="360"/>
        </w:tabs>
        <w:spacing w:line="560" w:lineRule="exact"/>
        <w:jc w:val="center"/>
        <w:rPr>
          <w:b/>
          <w:color w:val="000000" w:themeColor="text1"/>
          <w:sz w:val="24"/>
          <w:highlight w:val="none"/>
          <w14:textFill>
            <w14:solidFill>
              <w14:schemeClr w14:val="tx1"/>
            </w14:solidFill>
          </w14:textFill>
        </w:rPr>
      </w:pPr>
    </w:p>
    <w:p w14:paraId="306A7E8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00860673">
      <w:pPr>
        <w:tabs>
          <w:tab w:val="left" w:pos="540"/>
          <w:tab w:val="left" w:pos="720"/>
        </w:tabs>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职务）经正式授权并代表供应商</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（供应商名称、地址）提交</w:t>
      </w:r>
      <w:r>
        <w:rPr>
          <w:rFonts w:hint="eastAsia"/>
          <w:color w:val="000000" w:themeColor="text1"/>
          <w:sz w:val="24"/>
          <w:highlight w:val="none"/>
          <w14:textFill>
            <w14:solidFill>
              <w14:schemeClr w14:val="tx1"/>
            </w14:solidFill>
          </w14:textFill>
        </w:rPr>
        <w:t>网上应答及上传加盖电子签章的响应文件</w:t>
      </w:r>
      <w:r>
        <w:rPr>
          <w:color w:val="000000" w:themeColor="text1"/>
          <w:sz w:val="24"/>
          <w:highlight w:val="none"/>
          <w14:textFill>
            <w14:solidFill>
              <w14:schemeClr w14:val="tx1"/>
            </w14:solidFill>
          </w14:textFill>
        </w:rPr>
        <w:t>。</w:t>
      </w:r>
    </w:p>
    <w:p w14:paraId="30B21CBB">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签字代表宣布同意如下：</w:t>
      </w:r>
    </w:p>
    <w:p w14:paraId="3C04F931">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报价表中规定的应提供和交付的货物</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总价分别为</w:t>
      </w:r>
    </w:p>
    <w:p w14:paraId="25D8A82E">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14:paraId="03B8A091">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5CF48276">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2B3DD404">
      <w:pPr>
        <w:spacing w:line="460" w:lineRule="exact"/>
        <w:ind w:firstLine="471"/>
        <w:rPr>
          <w:color w:val="000000" w:themeColor="text1"/>
          <w:sz w:val="24"/>
          <w:highlight w:val="none"/>
          <w14:textFill>
            <w14:solidFill>
              <w14:schemeClr w14:val="tx1"/>
            </w14:solidFill>
          </w14:textFill>
        </w:rPr>
      </w:pPr>
    </w:p>
    <w:p w14:paraId="7DFB6D8C">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供应商已经对全部价格进行了认真核对，保证本报价真实、准确无误，并承担本价格所对应本项目的一切责任和义务。</w:t>
      </w:r>
    </w:p>
    <w:p w14:paraId="31A69ABB">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3. </w:t>
      </w:r>
      <w:r>
        <w:rPr>
          <w:rFonts w:hint="eastAsia"/>
          <w:color w:val="000000" w:themeColor="text1"/>
          <w:sz w:val="24"/>
          <w:highlight w:val="none"/>
          <w14:textFill>
            <w14:solidFill>
              <w14:schemeClr w14:val="tx1"/>
            </w14:solidFill>
          </w14:textFill>
        </w:rPr>
        <w:t>第一、二</w:t>
      </w:r>
      <w:r>
        <w:rPr>
          <w:color w:val="000000" w:themeColor="text1"/>
          <w:sz w:val="24"/>
          <w:highlight w:val="none"/>
          <w14:textFill>
            <w14:solidFill>
              <w14:schemeClr w14:val="tx1"/>
            </w14:solidFill>
          </w14:textFill>
        </w:rPr>
        <w:t>阶段响应文件一一对应、不可分割，共同构成我方对本项目的所有承诺。</w:t>
      </w:r>
    </w:p>
    <w:p w14:paraId="5F8ACFF9">
      <w:pPr>
        <w:spacing w:line="460" w:lineRule="exact"/>
        <w:ind w:firstLine="471"/>
        <w:rPr>
          <w:color w:val="000000" w:themeColor="text1"/>
          <w:sz w:val="24"/>
          <w:highlight w:val="none"/>
          <w14:textFill>
            <w14:solidFill>
              <w14:schemeClr w14:val="tx1"/>
            </w14:solidFill>
          </w14:textFill>
        </w:rPr>
      </w:pPr>
    </w:p>
    <w:p w14:paraId="6B596DB4">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60D281F5">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6D07FAE">
      <w:pPr>
        <w:spacing w:line="460" w:lineRule="exact"/>
        <w:ind w:firstLine="471"/>
        <w:rPr>
          <w:color w:val="000000" w:themeColor="text1"/>
          <w:sz w:val="24"/>
          <w:highlight w:val="none"/>
          <w14:textFill>
            <w14:solidFill>
              <w14:schemeClr w14:val="tx1"/>
            </w14:solidFill>
          </w14:textFill>
        </w:rPr>
      </w:pPr>
    </w:p>
    <w:p w14:paraId="07BEEA5D">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4231B572">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报价分项一览表</w:t>
      </w:r>
    </w:p>
    <w:p w14:paraId="080AB115">
      <w:pPr>
        <w:tabs>
          <w:tab w:val="left" w:pos="360"/>
        </w:tabs>
        <w:spacing w:line="560" w:lineRule="exact"/>
        <w:jc w:val="center"/>
        <w:rPr>
          <w:b/>
          <w:color w:val="000000" w:themeColor="text1"/>
          <w:sz w:val="24"/>
          <w:highlight w:val="none"/>
          <w14:textFill>
            <w14:solidFill>
              <w14:schemeClr w14:val="tx1"/>
            </w14:solidFill>
          </w14:textFill>
        </w:rPr>
      </w:pPr>
    </w:p>
    <w:p w14:paraId="1D381DDD">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0CDE79B6">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4DEFE719">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7819BD4">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17"/>
        <w:tblW w:w="9926" w:type="dxa"/>
        <w:jc w:val="center"/>
        <w:tblLayout w:type="autofit"/>
        <w:tblCellMar>
          <w:top w:w="0" w:type="dxa"/>
          <w:left w:w="108" w:type="dxa"/>
          <w:bottom w:w="0" w:type="dxa"/>
          <w:right w:w="108" w:type="dxa"/>
        </w:tblCellMar>
      </w:tblPr>
      <w:tblGrid>
        <w:gridCol w:w="727"/>
        <w:gridCol w:w="1226"/>
        <w:gridCol w:w="783"/>
        <w:gridCol w:w="1254"/>
        <w:gridCol w:w="1052"/>
        <w:gridCol w:w="782"/>
        <w:gridCol w:w="819"/>
        <w:gridCol w:w="782"/>
        <w:gridCol w:w="824"/>
        <w:gridCol w:w="810"/>
        <w:gridCol w:w="867"/>
      </w:tblGrid>
      <w:tr w14:paraId="48C8CCC7">
        <w:tblPrEx>
          <w:tblCellMar>
            <w:top w:w="0" w:type="dxa"/>
            <w:left w:w="108" w:type="dxa"/>
            <w:bottom w:w="0" w:type="dxa"/>
            <w:right w:w="108" w:type="dxa"/>
          </w:tblCellMar>
        </w:tblPrEx>
        <w:trPr>
          <w:trHeight w:val="555" w:hRule="atLeast"/>
          <w:jc w:val="center"/>
        </w:trPr>
        <w:tc>
          <w:tcPr>
            <w:tcW w:w="727" w:type="dxa"/>
            <w:tcBorders>
              <w:top w:val="single" w:color="auto" w:sz="8" w:space="0"/>
              <w:left w:val="single" w:color="auto" w:sz="8" w:space="0"/>
              <w:bottom w:val="single" w:color="auto" w:sz="4" w:space="0"/>
              <w:right w:val="single" w:color="auto" w:sz="4" w:space="0"/>
            </w:tcBorders>
            <w:noWrap/>
            <w:vAlign w:val="center"/>
          </w:tcPr>
          <w:p w14:paraId="1243BD28">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1226" w:type="dxa"/>
            <w:tcBorders>
              <w:top w:val="single" w:color="auto" w:sz="8" w:space="0"/>
              <w:left w:val="nil"/>
              <w:bottom w:val="single" w:color="auto" w:sz="4" w:space="0"/>
              <w:right w:val="single" w:color="auto" w:sz="4" w:space="0"/>
            </w:tcBorders>
            <w:vAlign w:val="center"/>
          </w:tcPr>
          <w:p w14:paraId="4BBC504B">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783" w:type="dxa"/>
            <w:tcBorders>
              <w:top w:val="single" w:color="auto" w:sz="8" w:space="0"/>
              <w:left w:val="nil"/>
              <w:bottom w:val="single" w:color="auto" w:sz="4" w:space="0"/>
              <w:right w:val="single" w:color="auto" w:sz="4" w:space="0"/>
            </w:tcBorders>
            <w:vAlign w:val="center"/>
          </w:tcPr>
          <w:p w14:paraId="12611FE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1254" w:type="dxa"/>
            <w:tcBorders>
              <w:top w:val="single" w:color="auto" w:sz="8" w:space="0"/>
              <w:left w:val="nil"/>
              <w:bottom w:val="single" w:color="auto" w:sz="4" w:space="0"/>
              <w:right w:val="single" w:color="auto" w:sz="4" w:space="0"/>
            </w:tcBorders>
            <w:vAlign w:val="center"/>
          </w:tcPr>
          <w:p w14:paraId="3311551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1052" w:type="dxa"/>
            <w:tcBorders>
              <w:top w:val="single" w:color="auto" w:sz="8" w:space="0"/>
              <w:left w:val="nil"/>
              <w:bottom w:val="single" w:color="auto" w:sz="4" w:space="0"/>
              <w:right w:val="single" w:color="auto" w:sz="4" w:space="0"/>
            </w:tcBorders>
            <w:vAlign w:val="center"/>
          </w:tcPr>
          <w:p w14:paraId="3AF9C5A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782" w:type="dxa"/>
            <w:tcBorders>
              <w:top w:val="single" w:color="auto" w:sz="8" w:space="0"/>
              <w:left w:val="nil"/>
              <w:bottom w:val="single" w:color="auto" w:sz="4" w:space="0"/>
              <w:right w:val="single" w:color="auto" w:sz="4" w:space="0"/>
            </w:tcBorders>
            <w:vAlign w:val="center"/>
          </w:tcPr>
          <w:p w14:paraId="1B201B91">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819" w:type="dxa"/>
            <w:tcBorders>
              <w:top w:val="single" w:color="auto" w:sz="8" w:space="0"/>
              <w:left w:val="nil"/>
              <w:bottom w:val="single" w:color="auto" w:sz="4" w:space="0"/>
              <w:right w:val="single" w:color="auto" w:sz="4" w:space="0"/>
            </w:tcBorders>
            <w:vAlign w:val="center"/>
          </w:tcPr>
          <w:p w14:paraId="39CE4E3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商品属性</w:t>
            </w:r>
          </w:p>
        </w:tc>
        <w:tc>
          <w:tcPr>
            <w:tcW w:w="782" w:type="dxa"/>
            <w:tcBorders>
              <w:top w:val="single" w:color="auto" w:sz="8" w:space="0"/>
              <w:left w:val="nil"/>
              <w:bottom w:val="single" w:color="auto" w:sz="4" w:space="0"/>
              <w:right w:val="single" w:color="auto" w:sz="4" w:space="0"/>
            </w:tcBorders>
            <w:vAlign w:val="center"/>
          </w:tcPr>
          <w:p w14:paraId="3A9C355B">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单价</w:t>
            </w:r>
          </w:p>
        </w:tc>
        <w:tc>
          <w:tcPr>
            <w:tcW w:w="824" w:type="dxa"/>
            <w:tcBorders>
              <w:top w:val="single" w:color="auto" w:sz="8" w:space="0"/>
              <w:left w:val="nil"/>
              <w:bottom w:val="single" w:color="auto" w:sz="4" w:space="0"/>
              <w:right w:val="single" w:color="auto" w:sz="4" w:space="0"/>
            </w:tcBorders>
            <w:vAlign w:val="center"/>
          </w:tcPr>
          <w:p w14:paraId="15B7AA92">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采购数量</w:t>
            </w:r>
          </w:p>
        </w:tc>
        <w:tc>
          <w:tcPr>
            <w:tcW w:w="810" w:type="dxa"/>
            <w:tcBorders>
              <w:top w:val="single" w:color="auto" w:sz="8" w:space="0"/>
              <w:left w:val="nil"/>
              <w:bottom w:val="single" w:color="auto" w:sz="4" w:space="0"/>
              <w:right w:val="single" w:color="auto" w:sz="4" w:space="0"/>
            </w:tcBorders>
            <w:vAlign w:val="center"/>
          </w:tcPr>
          <w:p w14:paraId="42175398">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计量单位</w:t>
            </w:r>
          </w:p>
        </w:tc>
        <w:tc>
          <w:tcPr>
            <w:tcW w:w="867" w:type="dxa"/>
            <w:tcBorders>
              <w:top w:val="single" w:color="auto" w:sz="8" w:space="0"/>
              <w:left w:val="nil"/>
              <w:bottom w:val="single" w:color="auto" w:sz="4" w:space="0"/>
              <w:right w:val="single" w:color="auto" w:sz="8" w:space="0"/>
            </w:tcBorders>
            <w:vAlign w:val="center"/>
          </w:tcPr>
          <w:p w14:paraId="13EEBCA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总价</w:t>
            </w:r>
          </w:p>
        </w:tc>
      </w:tr>
      <w:tr w14:paraId="0FD87893">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5A64D445">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69303D12">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7AA3CBDA">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78D0751C">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7029AA61">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097A4B25">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vAlign w:val="center"/>
          </w:tcPr>
          <w:p w14:paraId="33A18051">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vAlign w:val="center"/>
          </w:tcPr>
          <w:p w14:paraId="55C46DE7">
            <w:pPr>
              <w:widowControl/>
              <w:jc w:val="center"/>
              <w:rPr>
                <w:color w:val="000000" w:themeColor="text1"/>
                <w:kern w:val="0"/>
                <w:sz w:val="18"/>
                <w:szCs w:val="18"/>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6BB925E2">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38EF4FAE">
            <w:pPr>
              <w:widowControl/>
              <w:jc w:val="center"/>
              <w:rPr>
                <w:color w:val="000000" w:themeColor="text1"/>
                <w:kern w:val="0"/>
                <w:sz w:val="18"/>
                <w:szCs w:val="18"/>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4FD0945C">
            <w:pPr>
              <w:widowControl/>
              <w:jc w:val="center"/>
              <w:rPr>
                <w:color w:val="000000" w:themeColor="text1"/>
                <w:kern w:val="0"/>
                <w:sz w:val="24"/>
                <w:szCs w:val="24"/>
                <w:highlight w:val="none"/>
                <w14:textFill>
                  <w14:solidFill>
                    <w14:schemeClr w14:val="tx1"/>
                  </w14:solidFill>
                </w14:textFill>
              </w:rPr>
            </w:pPr>
          </w:p>
        </w:tc>
      </w:tr>
      <w:tr w14:paraId="73FC6C6C">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7E964922">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6680A438">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7028F6BF">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6E8EE7A2">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7B592191">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2569B149">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vAlign w:val="center"/>
          </w:tcPr>
          <w:p w14:paraId="62C30FDD">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vAlign w:val="center"/>
          </w:tcPr>
          <w:p w14:paraId="70448306">
            <w:pPr>
              <w:widowControl/>
              <w:jc w:val="center"/>
              <w:rPr>
                <w:color w:val="000000" w:themeColor="text1"/>
                <w:kern w:val="0"/>
                <w:sz w:val="18"/>
                <w:szCs w:val="18"/>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0F63730C">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75413C31">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62AF23C7">
            <w:pPr>
              <w:widowControl/>
              <w:jc w:val="center"/>
              <w:rPr>
                <w:color w:val="000000" w:themeColor="text1"/>
                <w:kern w:val="0"/>
                <w:sz w:val="24"/>
                <w:szCs w:val="24"/>
                <w:highlight w:val="none"/>
                <w14:textFill>
                  <w14:solidFill>
                    <w14:schemeClr w14:val="tx1"/>
                  </w14:solidFill>
                </w14:textFill>
              </w:rPr>
            </w:pPr>
          </w:p>
        </w:tc>
      </w:tr>
      <w:tr w14:paraId="65C5FB8E">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35D850FD">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46A7C729">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2D905426">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14F910FF">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320DBC49">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53FD1875">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vAlign w:val="center"/>
          </w:tcPr>
          <w:p w14:paraId="2FA01579">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vAlign w:val="center"/>
          </w:tcPr>
          <w:p w14:paraId="2B649C0C">
            <w:pPr>
              <w:widowControl/>
              <w:jc w:val="center"/>
              <w:rPr>
                <w:color w:val="000000" w:themeColor="text1"/>
                <w:kern w:val="0"/>
                <w:sz w:val="18"/>
                <w:szCs w:val="18"/>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4DC35113">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590A2223">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74CC898E">
            <w:pPr>
              <w:widowControl/>
              <w:jc w:val="center"/>
              <w:rPr>
                <w:color w:val="000000" w:themeColor="text1"/>
                <w:kern w:val="0"/>
                <w:sz w:val="24"/>
                <w:szCs w:val="24"/>
                <w:highlight w:val="none"/>
                <w14:textFill>
                  <w14:solidFill>
                    <w14:schemeClr w14:val="tx1"/>
                  </w14:solidFill>
                </w14:textFill>
              </w:rPr>
            </w:pPr>
          </w:p>
        </w:tc>
      </w:tr>
      <w:tr w14:paraId="36032203">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775050DF">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5F3B767E">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073DA6CE">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6334D6F2">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7D26DEE6">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5742075A">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noWrap/>
            <w:vAlign w:val="center"/>
          </w:tcPr>
          <w:p w14:paraId="1B20F3D2">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5A3676E2">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767BB3C2">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02AC1CC1">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1FD7D495">
            <w:pPr>
              <w:widowControl/>
              <w:jc w:val="center"/>
              <w:rPr>
                <w:color w:val="000000" w:themeColor="text1"/>
                <w:kern w:val="0"/>
                <w:sz w:val="24"/>
                <w:szCs w:val="24"/>
                <w:highlight w:val="none"/>
                <w14:textFill>
                  <w14:solidFill>
                    <w14:schemeClr w14:val="tx1"/>
                  </w14:solidFill>
                </w14:textFill>
              </w:rPr>
            </w:pPr>
          </w:p>
        </w:tc>
      </w:tr>
      <w:tr w14:paraId="256C0D7B">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313C9B51">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7D1F3E2D">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32A136B0">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6DBBDEF8">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5B65B28C">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677F98C5">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noWrap/>
            <w:vAlign w:val="center"/>
          </w:tcPr>
          <w:p w14:paraId="2514BDB2">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27BE205F">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43EC93A9">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65E9883E">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4B1CA829">
            <w:pPr>
              <w:widowControl/>
              <w:jc w:val="center"/>
              <w:rPr>
                <w:color w:val="000000" w:themeColor="text1"/>
                <w:kern w:val="0"/>
                <w:sz w:val="24"/>
                <w:szCs w:val="24"/>
                <w:highlight w:val="none"/>
                <w14:textFill>
                  <w14:solidFill>
                    <w14:schemeClr w14:val="tx1"/>
                  </w14:solidFill>
                </w14:textFill>
              </w:rPr>
            </w:pPr>
          </w:p>
        </w:tc>
      </w:tr>
      <w:tr w14:paraId="01565E6F">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3D4DE054">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6FA3DCA4">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7C546F85">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4E47298B">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1B118673">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0A5FB229">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noWrap/>
            <w:vAlign w:val="center"/>
          </w:tcPr>
          <w:p w14:paraId="14429435">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593C6967">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7DA47E70">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2A938FB7">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79FD3139">
            <w:pPr>
              <w:widowControl/>
              <w:jc w:val="center"/>
              <w:rPr>
                <w:color w:val="000000" w:themeColor="text1"/>
                <w:kern w:val="0"/>
                <w:sz w:val="24"/>
                <w:szCs w:val="24"/>
                <w:highlight w:val="none"/>
                <w14:textFill>
                  <w14:solidFill>
                    <w14:schemeClr w14:val="tx1"/>
                  </w14:solidFill>
                </w14:textFill>
              </w:rPr>
            </w:pPr>
          </w:p>
        </w:tc>
      </w:tr>
      <w:tr w14:paraId="169C84A3">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8" w:space="0"/>
              <w:right w:val="single" w:color="auto" w:sz="4" w:space="0"/>
            </w:tcBorders>
            <w:noWrap/>
            <w:vAlign w:val="center"/>
          </w:tcPr>
          <w:p w14:paraId="69716C36">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8" w:space="0"/>
              <w:right w:val="single" w:color="auto" w:sz="4" w:space="0"/>
            </w:tcBorders>
            <w:noWrap/>
            <w:vAlign w:val="center"/>
          </w:tcPr>
          <w:p w14:paraId="3F51540C">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8" w:space="0"/>
              <w:right w:val="single" w:color="auto" w:sz="4" w:space="0"/>
            </w:tcBorders>
            <w:noWrap/>
            <w:vAlign w:val="center"/>
          </w:tcPr>
          <w:p w14:paraId="2E121C0A">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8" w:space="0"/>
              <w:right w:val="single" w:color="auto" w:sz="4" w:space="0"/>
            </w:tcBorders>
            <w:noWrap/>
            <w:vAlign w:val="center"/>
          </w:tcPr>
          <w:p w14:paraId="07CA70A5">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8" w:space="0"/>
              <w:right w:val="single" w:color="auto" w:sz="4" w:space="0"/>
            </w:tcBorders>
            <w:noWrap/>
            <w:vAlign w:val="center"/>
          </w:tcPr>
          <w:p w14:paraId="7C502894">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8" w:space="0"/>
              <w:right w:val="single" w:color="auto" w:sz="4" w:space="0"/>
            </w:tcBorders>
            <w:noWrap/>
            <w:vAlign w:val="center"/>
          </w:tcPr>
          <w:p w14:paraId="2A31B046">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8" w:space="0"/>
              <w:right w:val="single" w:color="auto" w:sz="4" w:space="0"/>
            </w:tcBorders>
            <w:noWrap/>
            <w:vAlign w:val="center"/>
          </w:tcPr>
          <w:p w14:paraId="4F4446AB">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8" w:space="0"/>
              <w:right w:val="single" w:color="auto" w:sz="4" w:space="0"/>
            </w:tcBorders>
            <w:noWrap/>
            <w:vAlign w:val="center"/>
          </w:tcPr>
          <w:p w14:paraId="0957F4C7">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8" w:space="0"/>
              <w:right w:val="single" w:color="auto" w:sz="4" w:space="0"/>
            </w:tcBorders>
            <w:noWrap/>
            <w:vAlign w:val="center"/>
          </w:tcPr>
          <w:p w14:paraId="0E5623ED">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8" w:space="0"/>
              <w:right w:val="single" w:color="auto" w:sz="4" w:space="0"/>
            </w:tcBorders>
            <w:noWrap/>
            <w:vAlign w:val="center"/>
          </w:tcPr>
          <w:p w14:paraId="19AD0654">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8" w:space="0"/>
              <w:right w:val="single" w:color="auto" w:sz="8" w:space="0"/>
            </w:tcBorders>
            <w:noWrap/>
            <w:vAlign w:val="center"/>
          </w:tcPr>
          <w:p w14:paraId="1DD88615">
            <w:pPr>
              <w:widowControl/>
              <w:jc w:val="center"/>
              <w:rPr>
                <w:color w:val="000000" w:themeColor="text1"/>
                <w:kern w:val="0"/>
                <w:sz w:val="24"/>
                <w:szCs w:val="24"/>
                <w:highlight w:val="none"/>
                <w14:textFill>
                  <w14:solidFill>
                    <w14:schemeClr w14:val="tx1"/>
                  </w14:solidFill>
                </w14:textFill>
              </w:rPr>
            </w:pPr>
          </w:p>
        </w:tc>
      </w:tr>
    </w:tbl>
    <w:p w14:paraId="0D990CC0">
      <w:pPr>
        <w:ind w:left="180"/>
        <w:rPr>
          <w:color w:val="000000" w:themeColor="text1"/>
          <w:highlight w:val="none"/>
          <w14:textFill>
            <w14:solidFill>
              <w14:schemeClr w14:val="tx1"/>
            </w14:solidFill>
          </w14:textFill>
        </w:rPr>
      </w:pPr>
    </w:p>
    <w:p w14:paraId="438AE9AE">
      <w:pPr>
        <w:ind w:left="1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4333A070">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商品属性应在“环保产品”、“节能、节水产品”、“自主知识产权产品”、“无”四个选择项中选择填写。</w:t>
      </w:r>
    </w:p>
    <w:p w14:paraId="2E9EB591">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 </w:t>
      </w:r>
      <w:r>
        <w:rPr>
          <w:rFonts w:hint="eastAsia"/>
          <w:color w:val="000000" w:themeColor="text1"/>
          <w:sz w:val="24"/>
          <w:szCs w:val="24"/>
          <w:highlight w:val="none"/>
          <w14:textFill>
            <w14:solidFill>
              <w14:schemeClr w14:val="tx1"/>
            </w14:solidFill>
          </w14:textFill>
        </w:rPr>
        <w:t>报价</w:t>
      </w:r>
      <w:r>
        <w:rPr>
          <w:color w:val="000000" w:themeColor="text1"/>
          <w:sz w:val="24"/>
          <w:szCs w:val="24"/>
          <w:highlight w:val="none"/>
          <w14:textFill>
            <w14:solidFill>
              <w14:schemeClr w14:val="tx1"/>
            </w14:solidFill>
          </w14:textFill>
        </w:rPr>
        <w:t>分项一览表中应列明</w:t>
      </w:r>
      <w:r>
        <w:rPr>
          <w:rFonts w:hint="eastAsia"/>
          <w:color w:val="000000" w:themeColor="text1"/>
          <w:sz w:val="24"/>
          <w:szCs w:val="24"/>
          <w:highlight w:val="none"/>
          <w14:textFill>
            <w14:solidFill>
              <w14:schemeClr w14:val="tx1"/>
            </w14:solidFill>
          </w14:textFill>
        </w:rPr>
        <w:t>报价</w:t>
      </w:r>
      <w:r>
        <w:rPr>
          <w:color w:val="000000" w:themeColor="text1"/>
          <w:sz w:val="24"/>
          <w:szCs w:val="24"/>
          <w:highlight w:val="none"/>
          <w14:textFill>
            <w14:solidFill>
              <w14:schemeClr w14:val="tx1"/>
            </w14:solidFill>
          </w14:textFill>
        </w:rPr>
        <w:t>一览表中每项的分项内容。</w:t>
      </w:r>
    </w:p>
    <w:p w14:paraId="19A83D17">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如国产产品，产地精确到省级行政区域。如进口产品，产地精确到国家。</w:t>
      </w:r>
    </w:p>
    <w:p w14:paraId="663C64C8">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 “单价”须包含产品及附件货款、运输费、运输保险费、装卸费、安装调试费及其他应有的费用。</w:t>
      </w:r>
    </w:p>
    <w:p w14:paraId="35F34D29">
      <w:pPr>
        <w:spacing w:line="460" w:lineRule="exact"/>
        <w:ind w:left="192" w:firstLine="3948" w:firstLineChars="1645"/>
        <w:rPr>
          <w:color w:val="000000" w:themeColor="text1"/>
          <w:sz w:val="24"/>
          <w:highlight w:val="none"/>
          <w14:textFill>
            <w14:solidFill>
              <w14:schemeClr w14:val="tx1"/>
            </w14:solidFill>
          </w14:textFill>
        </w:rPr>
      </w:pPr>
    </w:p>
    <w:p w14:paraId="51E3E513">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2ED7F92C">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E7EDCB6">
      <w:pPr>
        <w:spacing w:line="460" w:lineRule="exact"/>
        <w:jc w:val="left"/>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附件2</w:t>
      </w:r>
    </w:p>
    <w:p w14:paraId="53E5EFC8">
      <w:pPr>
        <w:tabs>
          <w:tab w:val="left" w:pos="360"/>
        </w:tabs>
        <w:spacing w:line="560" w:lineRule="exact"/>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政府采购政策情况表</w:t>
      </w:r>
    </w:p>
    <w:p w14:paraId="372CB84E">
      <w:pPr>
        <w:tabs>
          <w:tab w:val="left" w:pos="360"/>
        </w:tabs>
        <w:spacing w:line="560" w:lineRule="exact"/>
        <w:jc w:val="center"/>
        <w:rPr>
          <w:color w:val="000000" w:themeColor="text1"/>
          <w:sz w:val="24"/>
          <w:highlight w:val="none"/>
          <w14:textFill>
            <w14:solidFill>
              <w14:schemeClr w14:val="tx1"/>
            </w14:solidFill>
          </w14:textFill>
        </w:rPr>
      </w:pPr>
    </w:p>
    <w:p w14:paraId="49A74A5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1DC132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2D751F9">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7970ADFF">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填报要求：</w:t>
      </w:r>
    </w:p>
    <w:p w14:paraId="72D00918">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1.本表的产品名称、品牌型号、金额应与《开标分项一览表》一致。</w:t>
      </w:r>
    </w:p>
    <w:p w14:paraId="31F9C87E">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2.“制造商企业类型”栏填写内容为“微型”、“小型”、“监狱企业”或“残疾人福利性单位”。</w:t>
      </w:r>
    </w:p>
    <w:p w14:paraId="568D5D78">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08479A51">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3DF7C11C">
      <w:pPr>
        <w:spacing w:line="460" w:lineRule="exact"/>
        <w:ind w:firstLine="7200" w:firstLineChars="30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单位：元</w:t>
      </w:r>
    </w:p>
    <w:tbl>
      <w:tblPr>
        <w:tblStyle w:val="1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1"/>
        <w:gridCol w:w="1564"/>
        <w:gridCol w:w="1351"/>
        <w:gridCol w:w="1621"/>
        <w:gridCol w:w="1452"/>
      </w:tblGrid>
      <w:tr w14:paraId="5A6A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64B8250A">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0771D09F">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345D0B0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707CC5E9">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7DC1689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7FD646E3">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746C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40845E74">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1286E3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71836C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6FA362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7FB4E8D">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F016AD5">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D6F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0472CC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58D608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BBBEDA9">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399487B">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A7E7997">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10B66B5">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805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81206C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4699E1BF">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187628BE">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0023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E717E18">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42FF363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53D07BA1">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4CFC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4F8581B">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658F001">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1766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05A360A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67C04C65">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573FBB7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4306EED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7C0478B3">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529774BF">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A77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55DB950D">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3F20949">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75B0F2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B606E7B">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1D7B4A7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1DE377CB">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031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0F45F47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9C007C5">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6F6CD2F">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52A5BE3">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5140F2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0D96E08E">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DBD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32FD69C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ECFB02A">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40A60FED">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5B09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377B080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05F08F1A">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78AE8AA5">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7238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22949D1B">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3A5BE3A2">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2BD1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009EAD49">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626A872F">
            <w:pPr>
              <w:pStyle w:val="69"/>
              <w:tabs>
                <w:tab w:val="left" w:pos="1260"/>
              </w:tabs>
              <w:adjustRightInd w:val="0"/>
              <w:snapToGrid w:val="0"/>
              <w:rPr>
                <w:b/>
                <w:color w:val="000000" w:themeColor="text1"/>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所投货物中有大型企业制造的，不享受中小企业扶持政策，无需填写以下内容；所投货物全部为小型、微型企业制造的，只填写小型、微型企业制造的货物。</w:t>
            </w:r>
          </w:p>
        </w:tc>
      </w:tr>
      <w:tr w14:paraId="44AC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C6240B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0584C5F">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4676A75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0FE6B61">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4B6A399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4530F98D">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02E274F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4C9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22B3C55">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FB66019">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291630B">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E916D2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1C15F219">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0F57D01">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250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A99E6CF">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D386A3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84EAF39">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DA4D3E1">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67614517">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9A461FE">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8A9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4981C2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A7C2A8E">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8795A2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283AE4E">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40C2CC04">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0C197BAA">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204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8950E68">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9568AF1">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81D0D41">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D9237F4">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5D794E1A">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1B619B5">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E4D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4338FBD">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91E29FE">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53DB11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ABEB111">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09BB57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08E4DDC">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D46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638113D">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FFA3E08">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E2A8FD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1DC601A">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E5FA62E">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676F94A">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043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71432C2">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4CEBFE1D">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14807CDF">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59E9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4FB2C1B0">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17BD61A5">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5757AF36">
            <w:pPr>
              <w:pStyle w:val="69"/>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33F6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70E9D2E3">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554C34AB">
            <w:pPr>
              <w:pStyle w:val="69"/>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678D54AB">
            <w:pPr>
              <w:pStyle w:val="69"/>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4DE8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00A0A696">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2E236843">
            <w:pPr>
              <w:pStyle w:val="69"/>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1F63ACC8">
            <w:pPr>
              <w:pStyle w:val="69"/>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481E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61733E43">
            <w:pPr>
              <w:pStyle w:val="69"/>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1D288861">
            <w:pPr>
              <w:pStyle w:val="69"/>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3704A444">
            <w:pPr>
              <w:pStyle w:val="69"/>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57F78036">
      <w:pPr>
        <w:spacing w:line="360" w:lineRule="auto"/>
        <w:ind w:firstLine="480" w:firstLineChars="200"/>
        <w:outlineLvl w:val="0"/>
        <w:rPr>
          <w:color w:val="000000" w:themeColor="text1"/>
          <w:sz w:val="24"/>
          <w:szCs w:val="24"/>
          <w:highlight w:val="none"/>
          <w14:textFill>
            <w14:solidFill>
              <w14:schemeClr w14:val="tx1"/>
            </w14:solidFill>
          </w14:textFill>
        </w:rPr>
      </w:pPr>
    </w:p>
    <w:p w14:paraId="4CFE89F5">
      <w:pPr>
        <w:spacing w:line="360" w:lineRule="auto"/>
        <w:ind w:firstLine="4080" w:firstLineChars="1700"/>
        <w:rPr>
          <w:color w:val="000000" w:themeColor="text1"/>
          <w:sz w:val="24"/>
          <w:highlight w:val="none"/>
          <w14:textFill>
            <w14:solidFill>
              <w14:schemeClr w14:val="tx1"/>
            </w14:solidFill>
          </w14:textFill>
        </w:rPr>
      </w:pPr>
    </w:p>
    <w:p w14:paraId="5BFF5CE3">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6E9B44FB">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74A5CBB-C1C3-40BC-B9C2-10226C8B76D9}"/>
  </w:font>
  <w:font w:name="Arial">
    <w:panose1 w:val="020B0604020202020204"/>
    <w:charset w:val="01"/>
    <w:family w:val="swiss"/>
    <w:pitch w:val="default"/>
    <w:sig w:usb0="E0002EFF" w:usb1="C000785B" w:usb2="00000009" w:usb3="00000000" w:csb0="400001FF" w:csb1="FFFF0000"/>
    <w:embedRegular r:id="rId2" w:fontKey="{9AF5D631-1771-42AB-90C6-30B5073F8396}"/>
  </w:font>
  <w:font w:name="黑体">
    <w:panose1 w:val="02010609060101010101"/>
    <w:charset w:val="86"/>
    <w:family w:val="auto"/>
    <w:pitch w:val="default"/>
    <w:sig w:usb0="800002BF" w:usb1="38CF7CFA" w:usb2="00000016" w:usb3="00000000" w:csb0="00040001" w:csb1="00000000"/>
    <w:embedRegular r:id="rId3" w:fontKey="{DC5C2DE5-59E2-4950-BC30-4EC24E1DE2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BD601B3-5ED3-4BD8-A8AA-4450E1CB7D0E}"/>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embedRegular r:id="rId5" w:fontKey="{8DCFCD42-E905-423F-9350-177CDE354AA4}"/>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embedRegular r:id="rId6" w:fontKey="{9C03F0B6-703B-4435-A4D5-D6076F065C61}"/>
  </w:font>
  <w:font w:name="仿宋_GB2312">
    <w:panose1 w:val="02010609030101010101"/>
    <w:charset w:val="86"/>
    <w:family w:val="modern"/>
    <w:pitch w:val="default"/>
    <w:sig w:usb0="00000001" w:usb1="080E0000" w:usb2="00000000" w:usb3="00000000" w:csb0="00040000" w:csb1="00000000"/>
    <w:embedRegular r:id="rId7" w:fontKey="{2A1E1EE5-2F98-469F-A288-325AFF1030B0}"/>
  </w:font>
  <w:font w:name="方正小标宋简体">
    <w:panose1 w:val="03000509000000000000"/>
    <w:charset w:val="86"/>
    <w:family w:val="auto"/>
    <w:pitch w:val="default"/>
    <w:sig w:usb0="00000001" w:usb1="080E0000" w:usb2="00000000" w:usb3="00000000" w:csb0="00040000" w:csb1="00000000"/>
    <w:embedRegular r:id="rId8" w:fontKey="{2081926F-38EE-49CD-8C07-EA950D740FE4}"/>
  </w:font>
  <w:font w:name="华文行楷">
    <w:panose1 w:val="02010800040101010101"/>
    <w:charset w:val="86"/>
    <w:family w:val="auto"/>
    <w:pitch w:val="default"/>
    <w:sig w:usb0="00000001" w:usb1="080F0000" w:usb2="00000000" w:usb3="00000000" w:csb0="00040000" w:csb1="00000000"/>
    <w:embedRegular r:id="rId9" w:fontKey="{A1EB523F-B21F-4F3F-BA07-B583CAD9A800}"/>
  </w:font>
  <w:font w:name="方正行楷简体">
    <w:altName w:val="微软雅黑"/>
    <w:panose1 w:val="00000000000000000000"/>
    <w:charset w:val="86"/>
    <w:family w:val="auto"/>
    <w:pitch w:val="default"/>
    <w:sig w:usb0="00000000" w:usb1="00000000" w:usb2="00000010" w:usb3="00000000" w:csb0="00040000" w:csb1="00000000"/>
    <w:embedRegular r:id="rId10" w:fontKey="{BCF953F7-6600-470A-899A-CFDCDBE205F7}"/>
  </w:font>
  <w:font w:name="楷体_GB2312">
    <w:altName w:val="楷体"/>
    <w:panose1 w:val="00000000000000000000"/>
    <w:charset w:val="86"/>
    <w:family w:val="modern"/>
    <w:pitch w:val="default"/>
    <w:sig w:usb0="00000000" w:usb1="00000000" w:usb2="00000010" w:usb3="00000000" w:csb0="00040000" w:csb1="00000000"/>
    <w:embedRegular r:id="rId11" w:fontKey="{3A28CB04-7172-49DF-A7F9-7A682A36970D}"/>
  </w:font>
  <w:font w:name="方正楷体简体">
    <w:panose1 w:val="02000000000000000000"/>
    <w:charset w:val="86"/>
    <w:family w:val="auto"/>
    <w:pitch w:val="default"/>
    <w:sig w:usb0="A00002BF" w:usb1="184F6CFA" w:usb2="00000012" w:usb3="00000000" w:csb0="00040001" w:csb1="00000000"/>
    <w:embedRegular r:id="rId12" w:fontKey="{F9636E5A-F8CB-4B83-A659-7EFFAC16D566}"/>
  </w:font>
  <w:font w:name="仿宋">
    <w:panose1 w:val="02010609060101010101"/>
    <w:charset w:val="86"/>
    <w:family w:val="modern"/>
    <w:pitch w:val="default"/>
    <w:sig w:usb0="800002BF" w:usb1="38CF7CFA" w:usb2="00000016" w:usb3="00000000" w:csb0="00040001" w:csb1="00000000"/>
    <w:embedRegular r:id="rId13" w:fontKey="{AD2B929E-A081-4582-86F7-3B26C3155A1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096723"/>
    </w:sdtPr>
    <w:sdtContent>
      <w:p w14:paraId="5F30E413">
        <w:pPr>
          <w:pStyle w:val="11"/>
          <w:jc w:val="center"/>
        </w:pPr>
        <w:r>
          <w:fldChar w:fldCharType="begin"/>
        </w:r>
        <w:r>
          <w:instrText xml:space="preserve">PAGE   \* MERGEFORMAT</w:instrText>
        </w:r>
        <w:r>
          <w:fldChar w:fldCharType="separate"/>
        </w:r>
        <w:r>
          <w:t>1</w:t>
        </w:r>
        <w:r>
          <w:fldChar w:fldCharType="end"/>
        </w:r>
      </w:p>
    </w:sdtContent>
  </w:sdt>
  <w:p w14:paraId="71AA9D5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323439"/>
    </w:sdtPr>
    <w:sdtContent>
      <w:p w14:paraId="6140D340">
        <w:pPr>
          <w:pStyle w:val="11"/>
          <w:jc w:val="center"/>
        </w:pPr>
        <w:r>
          <w:fldChar w:fldCharType="begin"/>
        </w:r>
        <w:r>
          <w:instrText xml:space="preserve">PAGE   \* MERGEFORMAT</w:instrText>
        </w:r>
        <w:r>
          <w:fldChar w:fldCharType="separate"/>
        </w:r>
        <w:r>
          <w:t>20</w:t>
        </w:r>
        <w:r>
          <w:fldChar w:fldCharType="end"/>
        </w:r>
      </w:p>
    </w:sdtContent>
  </w:sdt>
  <w:p w14:paraId="0EF528A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C32E">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58908">
    <w:pPr>
      <w:pStyle w:val="12"/>
      <w:jc w:val="both"/>
    </w:pPr>
    <w:r>
      <w:rPr>
        <w:rFonts w:hint="eastAsia"/>
      </w:rPr>
      <w:t>竞争性磋商文件                                                    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DBC5">
    <w:pPr>
      <w:pStyle w:val="12"/>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DE6C3">
    <w:pPr>
      <w:pStyle w:val="12"/>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9508">
    <w:pPr>
      <w:pStyle w:val="12"/>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pPr>
        <w:ind w:left="0" w:firstLine="0"/>
      </w:pPr>
    </w:lvl>
  </w:abstractNum>
  <w:abstractNum w:abstractNumId="1">
    <w:nsid w:val="CFE7C3F8"/>
    <w:multiLevelType w:val="singleLevel"/>
    <w:tmpl w:val="CFE7C3F8"/>
    <w:lvl w:ilvl="0" w:tentative="0">
      <w:start w:val="1"/>
      <w:numFmt w:val="decimal"/>
      <w:suff w:val="nothing"/>
      <w:lvlText w:val="（%1）"/>
      <w:lvlJc w:val="left"/>
      <w:pPr>
        <w:ind w:left="0" w:firstLine="0"/>
      </w:pPr>
    </w:lvl>
  </w:abstractNum>
  <w:abstractNum w:abstractNumId="2">
    <w:nsid w:val="DDECD3BC"/>
    <w:multiLevelType w:val="singleLevel"/>
    <w:tmpl w:val="DDECD3BC"/>
    <w:lvl w:ilvl="0" w:tentative="0">
      <w:start w:val="6"/>
      <w:numFmt w:val="decimal"/>
      <w:suff w:val="space"/>
      <w:lvlText w:val="%1."/>
      <w:lvlJc w:val="left"/>
      <w:pPr>
        <w:ind w:left="0" w:firstLine="0"/>
      </w:pPr>
    </w:lvl>
  </w:abstractNum>
  <w:abstractNum w:abstractNumId="3">
    <w:nsid w:val="DE759F4B"/>
    <w:multiLevelType w:val="singleLevel"/>
    <w:tmpl w:val="DE759F4B"/>
    <w:lvl w:ilvl="0" w:tentative="0">
      <w:start w:val="2"/>
      <w:numFmt w:val="decimal"/>
      <w:suff w:val="space"/>
      <w:lvlText w:val="%1."/>
      <w:lvlJc w:val="left"/>
      <w:pPr>
        <w:ind w:left="0" w:firstLine="0"/>
      </w:pPr>
    </w:lvl>
  </w:abstractNum>
  <w:abstractNum w:abstractNumId="4">
    <w:nsid w:val="DEABE1DB"/>
    <w:multiLevelType w:val="singleLevel"/>
    <w:tmpl w:val="DEABE1DB"/>
    <w:lvl w:ilvl="0" w:tentative="0">
      <w:start w:val="23"/>
      <w:numFmt w:val="decimal"/>
      <w:suff w:val="space"/>
      <w:lvlText w:val="%1."/>
      <w:lvlJc w:val="left"/>
      <w:pPr>
        <w:ind w:left="0" w:firstLine="0"/>
      </w:pPr>
    </w:lvl>
  </w:abstractNum>
  <w:abstractNum w:abstractNumId="5">
    <w:nsid w:val="FFEFC674"/>
    <w:multiLevelType w:val="singleLevel"/>
    <w:tmpl w:val="FFEFC674"/>
    <w:lvl w:ilvl="0" w:tentative="0">
      <w:start w:val="1"/>
      <w:numFmt w:val="decimal"/>
      <w:suff w:val="nothing"/>
      <w:lvlText w:val="（%1）"/>
      <w:lvlJc w:val="left"/>
      <w:pPr>
        <w:ind w:left="0" w:firstLine="0"/>
      </w:pPr>
    </w:lvl>
  </w:abstractNum>
  <w:abstractNum w:abstractNumId="6">
    <w:nsid w:val="7A0F6431"/>
    <w:multiLevelType w:val="singleLevel"/>
    <w:tmpl w:val="7A0F6431"/>
    <w:lvl w:ilvl="0" w:tentative="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90B02"/>
    <w:rsid w:val="00091C23"/>
    <w:rsid w:val="000924C7"/>
    <w:rsid w:val="000A0789"/>
    <w:rsid w:val="000A0BA2"/>
    <w:rsid w:val="000A2E81"/>
    <w:rsid w:val="000B3483"/>
    <w:rsid w:val="000B4838"/>
    <w:rsid w:val="000B49A4"/>
    <w:rsid w:val="000B5E84"/>
    <w:rsid w:val="000C09BE"/>
    <w:rsid w:val="000C0F85"/>
    <w:rsid w:val="000C1FAF"/>
    <w:rsid w:val="000C2EEB"/>
    <w:rsid w:val="000C60D5"/>
    <w:rsid w:val="000D30EB"/>
    <w:rsid w:val="000E184D"/>
    <w:rsid w:val="000E2489"/>
    <w:rsid w:val="000E24C7"/>
    <w:rsid w:val="000E2EE1"/>
    <w:rsid w:val="000E742E"/>
    <w:rsid w:val="000E7779"/>
    <w:rsid w:val="000F000C"/>
    <w:rsid w:val="000F18B3"/>
    <w:rsid w:val="000F269D"/>
    <w:rsid w:val="000F6376"/>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52F0"/>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E7F28"/>
    <w:rsid w:val="001F4219"/>
    <w:rsid w:val="001F6106"/>
    <w:rsid w:val="001F651D"/>
    <w:rsid w:val="00200AC3"/>
    <w:rsid w:val="0020130B"/>
    <w:rsid w:val="00201F62"/>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528C"/>
    <w:rsid w:val="00286B43"/>
    <w:rsid w:val="00293EE2"/>
    <w:rsid w:val="00294794"/>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340E4"/>
    <w:rsid w:val="00442E1A"/>
    <w:rsid w:val="004543F5"/>
    <w:rsid w:val="00460AB8"/>
    <w:rsid w:val="00462F01"/>
    <w:rsid w:val="004642AD"/>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4041"/>
    <w:rsid w:val="005665F9"/>
    <w:rsid w:val="00572B15"/>
    <w:rsid w:val="00576325"/>
    <w:rsid w:val="005773EB"/>
    <w:rsid w:val="00581015"/>
    <w:rsid w:val="00584D86"/>
    <w:rsid w:val="00585351"/>
    <w:rsid w:val="00592433"/>
    <w:rsid w:val="00593298"/>
    <w:rsid w:val="00595A5D"/>
    <w:rsid w:val="005A0675"/>
    <w:rsid w:val="005A1EDD"/>
    <w:rsid w:val="005A7C26"/>
    <w:rsid w:val="005B1BED"/>
    <w:rsid w:val="005B2F00"/>
    <w:rsid w:val="005C11A2"/>
    <w:rsid w:val="005C2CB0"/>
    <w:rsid w:val="005C3D81"/>
    <w:rsid w:val="005C3DE6"/>
    <w:rsid w:val="005C6E19"/>
    <w:rsid w:val="005C726B"/>
    <w:rsid w:val="005C7426"/>
    <w:rsid w:val="005D0FF8"/>
    <w:rsid w:val="005D1C66"/>
    <w:rsid w:val="005D2D04"/>
    <w:rsid w:val="005D7BB2"/>
    <w:rsid w:val="005E040B"/>
    <w:rsid w:val="005E2C9A"/>
    <w:rsid w:val="005E5CB4"/>
    <w:rsid w:val="005E6280"/>
    <w:rsid w:val="005E6876"/>
    <w:rsid w:val="005F1A71"/>
    <w:rsid w:val="005F28B9"/>
    <w:rsid w:val="005F427F"/>
    <w:rsid w:val="005F45E5"/>
    <w:rsid w:val="005F4DEC"/>
    <w:rsid w:val="005F7212"/>
    <w:rsid w:val="00601C7C"/>
    <w:rsid w:val="00607DF9"/>
    <w:rsid w:val="00611987"/>
    <w:rsid w:val="0061678D"/>
    <w:rsid w:val="00616D81"/>
    <w:rsid w:val="00623379"/>
    <w:rsid w:val="006240E8"/>
    <w:rsid w:val="0062612F"/>
    <w:rsid w:val="0062763C"/>
    <w:rsid w:val="00627949"/>
    <w:rsid w:val="00630E56"/>
    <w:rsid w:val="0063158C"/>
    <w:rsid w:val="00633AA4"/>
    <w:rsid w:val="006349C8"/>
    <w:rsid w:val="00636897"/>
    <w:rsid w:val="00636E1F"/>
    <w:rsid w:val="00640411"/>
    <w:rsid w:val="00645283"/>
    <w:rsid w:val="006516D7"/>
    <w:rsid w:val="006522FC"/>
    <w:rsid w:val="00653714"/>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2D05"/>
    <w:rsid w:val="007347CA"/>
    <w:rsid w:val="0074105F"/>
    <w:rsid w:val="00744AE9"/>
    <w:rsid w:val="00745154"/>
    <w:rsid w:val="0074587F"/>
    <w:rsid w:val="00750241"/>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4E4"/>
    <w:rsid w:val="007D7BD3"/>
    <w:rsid w:val="007E06D9"/>
    <w:rsid w:val="007E0DE4"/>
    <w:rsid w:val="007E5B2A"/>
    <w:rsid w:val="007E6EFA"/>
    <w:rsid w:val="007F2E2E"/>
    <w:rsid w:val="007F7456"/>
    <w:rsid w:val="008011DF"/>
    <w:rsid w:val="008024D0"/>
    <w:rsid w:val="00803463"/>
    <w:rsid w:val="00803604"/>
    <w:rsid w:val="00806733"/>
    <w:rsid w:val="00806924"/>
    <w:rsid w:val="00812E6D"/>
    <w:rsid w:val="008135F1"/>
    <w:rsid w:val="00815032"/>
    <w:rsid w:val="008204B5"/>
    <w:rsid w:val="00821CCC"/>
    <w:rsid w:val="008242F4"/>
    <w:rsid w:val="00824C9D"/>
    <w:rsid w:val="0082759E"/>
    <w:rsid w:val="0083238C"/>
    <w:rsid w:val="00833682"/>
    <w:rsid w:val="00842766"/>
    <w:rsid w:val="008447B2"/>
    <w:rsid w:val="00846CEA"/>
    <w:rsid w:val="00853381"/>
    <w:rsid w:val="008549FB"/>
    <w:rsid w:val="00854FEF"/>
    <w:rsid w:val="0085531E"/>
    <w:rsid w:val="008557BE"/>
    <w:rsid w:val="00870159"/>
    <w:rsid w:val="008735F2"/>
    <w:rsid w:val="00874E27"/>
    <w:rsid w:val="00886487"/>
    <w:rsid w:val="00886958"/>
    <w:rsid w:val="00891535"/>
    <w:rsid w:val="008972CA"/>
    <w:rsid w:val="00897671"/>
    <w:rsid w:val="008A132D"/>
    <w:rsid w:val="008A2538"/>
    <w:rsid w:val="008A34A6"/>
    <w:rsid w:val="008A350D"/>
    <w:rsid w:val="008A4CC5"/>
    <w:rsid w:val="008A5E84"/>
    <w:rsid w:val="008B1CB3"/>
    <w:rsid w:val="008B3CD5"/>
    <w:rsid w:val="008B71EF"/>
    <w:rsid w:val="008C0C24"/>
    <w:rsid w:val="008C14BA"/>
    <w:rsid w:val="008C23C6"/>
    <w:rsid w:val="008D1E18"/>
    <w:rsid w:val="008D2DBD"/>
    <w:rsid w:val="008D374D"/>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66BF"/>
    <w:rsid w:val="009A0835"/>
    <w:rsid w:val="009A27C1"/>
    <w:rsid w:val="009B22F4"/>
    <w:rsid w:val="009B324F"/>
    <w:rsid w:val="009B4D6C"/>
    <w:rsid w:val="009B7C64"/>
    <w:rsid w:val="009C17F8"/>
    <w:rsid w:val="009C2C8F"/>
    <w:rsid w:val="009C374E"/>
    <w:rsid w:val="009D32E2"/>
    <w:rsid w:val="009D49CF"/>
    <w:rsid w:val="009D6F98"/>
    <w:rsid w:val="009D7D10"/>
    <w:rsid w:val="009D7F8F"/>
    <w:rsid w:val="009E0084"/>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360A"/>
    <w:rsid w:val="00AA3E09"/>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81AC3"/>
    <w:rsid w:val="00B81B71"/>
    <w:rsid w:val="00B8228C"/>
    <w:rsid w:val="00B85D1E"/>
    <w:rsid w:val="00B97917"/>
    <w:rsid w:val="00BA0CF6"/>
    <w:rsid w:val="00BA2AB3"/>
    <w:rsid w:val="00BA6966"/>
    <w:rsid w:val="00BA6BC0"/>
    <w:rsid w:val="00BB3573"/>
    <w:rsid w:val="00BB35D2"/>
    <w:rsid w:val="00BB37DB"/>
    <w:rsid w:val="00BC3B9A"/>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4974"/>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1ADB"/>
    <w:rsid w:val="00CC26A6"/>
    <w:rsid w:val="00CC531B"/>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1349"/>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48B5"/>
    <w:rsid w:val="00D46067"/>
    <w:rsid w:val="00D46D68"/>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C00C3"/>
    <w:rsid w:val="00DC0A7C"/>
    <w:rsid w:val="00DC6F19"/>
    <w:rsid w:val="00DD14C5"/>
    <w:rsid w:val="00DD4664"/>
    <w:rsid w:val="00DD48B2"/>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6EFE"/>
    <w:rsid w:val="00E46F0B"/>
    <w:rsid w:val="00E47D54"/>
    <w:rsid w:val="00E519FF"/>
    <w:rsid w:val="00E5285A"/>
    <w:rsid w:val="00E530DB"/>
    <w:rsid w:val="00E5576F"/>
    <w:rsid w:val="00E56FE6"/>
    <w:rsid w:val="00E73A7F"/>
    <w:rsid w:val="00E73BFF"/>
    <w:rsid w:val="00E80B66"/>
    <w:rsid w:val="00E84D97"/>
    <w:rsid w:val="00E87037"/>
    <w:rsid w:val="00E90319"/>
    <w:rsid w:val="00E92B39"/>
    <w:rsid w:val="00E93935"/>
    <w:rsid w:val="00E946F3"/>
    <w:rsid w:val="00E956F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7D45"/>
    <w:rsid w:val="00EF0A19"/>
    <w:rsid w:val="00EF3871"/>
    <w:rsid w:val="00EF5E33"/>
    <w:rsid w:val="00EF78D5"/>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636E5"/>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B675C"/>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 w:val="02113575"/>
    <w:rsid w:val="02117D9A"/>
    <w:rsid w:val="0259024A"/>
    <w:rsid w:val="06CB0518"/>
    <w:rsid w:val="075F6EB2"/>
    <w:rsid w:val="0A9F6C0C"/>
    <w:rsid w:val="0AF344E1"/>
    <w:rsid w:val="0CF406F2"/>
    <w:rsid w:val="0E1E1875"/>
    <w:rsid w:val="0F657030"/>
    <w:rsid w:val="10127AA5"/>
    <w:rsid w:val="102723E9"/>
    <w:rsid w:val="10D75D0B"/>
    <w:rsid w:val="111F2C9C"/>
    <w:rsid w:val="113F222E"/>
    <w:rsid w:val="13983E78"/>
    <w:rsid w:val="16C32FBA"/>
    <w:rsid w:val="17400AAE"/>
    <w:rsid w:val="178D19FC"/>
    <w:rsid w:val="1B3E5D6D"/>
    <w:rsid w:val="1CC7757C"/>
    <w:rsid w:val="1E895040"/>
    <w:rsid w:val="1EE33029"/>
    <w:rsid w:val="1F617814"/>
    <w:rsid w:val="2120725A"/>
    <w:rsid w:val="21933ED0"/>
    <w:rsid w:val="227E5DF4"/>
    <w:rsid w:val="228D6B72"/>
    <w:rsid w:val="22CD6F6E"/>
    <w:rsid w:val="257D68A0"/>
    <w:rsid w:val="285C501C"/>
    <w:rsid w:val="2920604A"/>
    <w:rsid w:val="294D2BB7"/>
    <w:rsid w:val="2ADF08F2"/>
    <w:rsid w:val="2C6C2790"/>
    <w:rsid w:val="2CDC497D"/>
    <w:rsid w:val="2D91227C"/>
    <w:rsid w:val="2FC808B8"/>
    <w:rsid w:val="2FF65D56"/>
    <w:rsid w:val="32BA0773"/>
    <w:rsid w:val="35F846CE"/>
    <w:rsid w:val="36785717"/>
    <w:rsid w:val="37B26974"/>
    <w:rsid w:val="393578EF"/>
    <w:rsid w:val="3A9E4F5B"/>
    <w:rsid w:val="3FE060DB"/>
    <w:rsid w:val="40F77B80"/>
    <w:rsid w:val="41016309"/>
    <w:rsid w:val="421A3B26"/>
    <w:rsid w:val="43B64397"/>
    <w:rsid w:val="43D1290A"/>
    <w:rsid w:val="44A46D96"/>
    <w:rsid w:val="458539AC"/>
    <w:rsid w:val="45D81736"/>
    <w:rsid w:val="46B81CE4"/>
    <w:rsid w:val="46E97F6B"/>
    <w:rsid w:val="46F030A7"/>
    <w:rsid w:val="47262F6D"/>
    <w:rsid w:val="474433F3"/>
    <w:rsid w:val="48762808"/>
    <w:rsid w:val="4C403340"/>
    <w:rsid w:val="4FFA0AF3"/>
    <w:rsid w:val="508F4004"/>
    <w:rsid w:val="526606C2"/>
    <w:rsid w:val="52E53CDC"/>
    <w:rsid w:val="53096FE2"/>
    <w:rsid w:val="53964B7A"/>
    <w:rsid w:val="55EA6A34"/>
    <w:rsid w:val="573E74AA"/>
    <w:rsid w:val="576605B8"/>
    <w:rsid w:val="595E20AF"/>
    <w:rsid w:val="5C8E2823"/>
    <w:rsid w:val="5F916CC4"/>
    <w:rsid w:val="62AC0373"/>
    <w:rsid w:val="6401024A"/>
    <w:rsid w:val="64F471AE"/>
    <w:rsid w:val="67BD26DA"/>
    <w:rsid w:val="689B6EBF"/>
    <w:rsid w:val="692769A5"/>
    <w:rsid w:val="6ABB4286"/>
    <w:rsid w:val="6B28418D"/>
    <w:rsid w:val="6D7C5B17"/>
    <w:rsid w:val="6D9923DD"/>
    <w:rsid w:val="6E91666F"/>
    <w:rsid w:val="6EE3511C"/>
    <w:rsid w:val="762B1157"/>
    <w:rsid w:val="764861AD"/>
    <w:rsid w:val="77527E0B"/>
    <w:rsid w:val="777C610E"/>
    <w:rsid w:val="78F41CD4"/>
    <w:rsid w:val="79A74F98"/>
    <w:rsid w:val="7F01339C"/>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7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4"/>
    <w:qFormat/>
    <w:uiPriority w:val="0"/>
    <w:pPr>
      <w:keepNext/>
      <w:keepLines/>
      <w:spacing w:before="260" w:after="260" w:line="415" w:lineRule="auto"/>
      <w:outlineLvl w:val="2"/>
    </w:pPr>
    <w:rPr>
      <w:b/>
      <w:bCs/>
      <w:kern w:val="0"/>
      <w:sz w:val="32"/>
      <w:szCs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link w:val="73"/>
    <w:qFormat/>
    <w:uiPriority w:val="99"/>
    <w:pPr>
      <w:spacing w:after="120"/>
    </w:pPr>
  </w:style>
  <w:style w:type="paragraph" w:styleId="7">
    <w:name w:val="Body Text Indent"/>
    <w:basedOn w:val="1"/>
    <w:link w:val="74"/>
    <w:semiHidden/>
    <w:unhideWhenUsed/>
    <w:qFormat/>
    <w:uiPriority w:val="99"/>
    <w:pPr>
      <w:spacing w:after="120"/>
      <w:ind w:left="420" w:leftChars="200"/>
    </w:pPr>
  </w:style>
  <w:style w:type="paragraph" w:styleId="8">
    <w:name w:val="Plain Text"/>
    <w:basedOn w:val="1"/>
    <w:link w:val="76"/>
    <w:semiHidden/>
    <w:unhideWhenUsed/>
    <w:qFormat/>
    <w:uiPriority w:val="0"/>
    <w:rPr>
      <w:rFonts w:ascii="宋体" w:hAnsi="Courier New" w:cs="Courier New"/>
      <w:szCs w:val="21"/>
    </w:rPr>
  </w:style>
  <w:style w:type="paragraph" w:styleId="9">
    <w:name w:val="Body Text Indent 2"/>
    <w:basedOn w:val="1"/>
    <w:link w:val="32"/>
    <w:qFormat/>
    <w:uiPriority w:val="0"/>
    <w:pPr>
      <w:tabs>
        <w:tab w:val="left" w:pos="360"/>
      </w:tabs>
      <w:spacing w:line="560" w:lineRule="atLeast"/>
      <w:ind w:left="-105" w:firstLine="465"/>
    </w:pPr>
    <w:rPr>
      <w:rFonts w:ascii="宋体"/>
      <w:sz w:val="28"/>
      <w:lang w:val="zh-CN"/>
    </w:rPr>
  </w:style>
  <w:style w:type="paragraph" w:styleId="10">
    <w:name w:val="Balloon Text"/>
    <w:basedOn w:val="1"/>
    <w:link w:val="27"/>
    <w:qFormat/>
    <w:uiPriority w:val="99"/>
    <w:rPr>
      <w:sz w:val="18"/>
      <w:szCs w:val="18"/>
      <w:lang w:val="zh-CN"/>
    </w:rPr>
  </w:style>
  <w:style w:type="paragraph" w:styleId="11">
    <w:name w:val="footer"/>
    <w:basedOn w:val="1"/>
    <w:link w:val="26"/>
    <w:qFormat/>
    <w:uiPriority w:val="99"/>
    <w:pPr>
      <w:tabs>
        <w:tab w:val="center" w:pos="4153"/>
        <w:tab w:val="right" w:pos="8306"/>
      </w:tabs>
      <w:snapToGrid w:val="0"/>
      <w:jc w:val="left"/>
    </w:pPr>
    <w:rPr>
      <w:kern w:val="0"/>
      <w:sz w:val="18"/>
      <w:szCs w:val="18"/>
      <w:lang w:val="zh-CN"/>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qFormat/>
    <w:uiPriority w:val="0"/>
    <w:pPr>
      <w:tabs>
        <w:tab w:val="right" w:leader="middleDot" w:pos="8302"/>
      </w:tabs>
      <w:spacing w:line="360" w:lineRule="auto"/>
    </w:pPr>
  </w:style>
  <w:style w:type="paragraph" w:styleId="14">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rPr>
  </w:style>
  <w:style w:type="paragraph" w:styleId="15">
    <w:name w:val="Body Text Indent 3"/>
    <w:basedOn w:val="1"/>
    <w:link w:val="33"/>
    <w:qFormat/>
    <w:uiPriority w:val="0"/>
    <w:pPr>
      <w:tabs>
        <w:tab w:val="left" w:pos="360"/>
      </w:tabs>
      <w:spacing w:line="560" w:lineRule="exact"/>
      <w:ind w:firstLine="360"/>
    </w:pPr>
    <w:rPr>
      <w:rFonts w:ascii="宋体"/>
      <w:sz w:val="24"/>
      <w:lang w:val="zh-CN"/>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Emphasis"/>
    <w:qFormat/>
    <w:uiPriority w:val="20"/>
    <w:rPr>
      <w:i/>
      <w:iCs/>
    </w:rPr>
  </w:style>
  <w:style w:type="character" w:styleId="23">
    <w:name w:val="Hyperlink"/>
    <w:qFormat/>
    <w:uiPriority w:val="0"/>
    <w:rPr>
      <w:rFonts w:hint="default" w:ascii="ˎ̥" w:hAnsi="ˎ̥"/>
      <w:color w:val="3E3E3E"/>
      <w:sz w:val="24"/>
      <w:szCs w:val="24"/>
      <w:u w:val="none"/>
    </w:rPr>
  </w:style>
  <w:style w:type="character" w:customStyle="1" w:styleId="24">
    <w:name w:val="标题 3 字符"/>
    <w:link w:val="3"/>
    <w:qFormat/>
    <w:uiPriority w:val="0"/>
    <w:rPr>
      <w:rFonts w:ascii="Times New Roman" w:hAnsi="Times New Roman" w:eastAsia="宋体" w:cs="Times New Roman"/>
      <w:b/>
      <w:bCs/>
      <w:sz w:val="32"/>
      <w:szCs w:val="32"/>
    </w:rPr>
  </w:style>
  <w:style w:type="character" w:customStyle="1" w:styleId="25">
    <w:name w:val="页眉 字符"/>
    <w:link w:val="12"/>
    <w:qFormat/>
    <w:uiPriority w:val="99"/>
    <w:rPr>
      <w:rFonts w:ascii="Times New Roman" w:hAnsi="Times New Roman" w:eastAsia="宋体" w:cs="Times New Roman"/>
      <w:sz w:val="18"/>
      <w:szCs w:val="18"/>
    </w:rPr>
  </w:style>
  <w:style w:type="character" w:customStyle="1" w:styleId="26">
    <w:name w:val="页脚 字符"/>
    <w:link w:val="11"/>
    <w:qFormat/>
    <w:uiPriority w:val="99"/>
    <w:rPr>
      <w:rFonts w:ascii="Times New Roman" w:hAnsi="Times New Roman" w:eastAsia="宋体" w:cs="Times New Roman"/>
      <w:sz w:val="18"/>
      <w:szCs w:val="18"/>
    </w:rPr>
  </w:style>
  <w:style w:type="character" w:customStyle="1" w:styleId="27">
    <w:name w:val="批注框文本 字符"/>
    <w:link w:val="10"/>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1"/>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字符"/>
    <w:link w:val="14"/>
    <w:qFormat/>
    <w:uiPriority w:val="11"/>
    <w:rPr>
      <w:rFonts w:ascii="Cambria" w:hAnsi="Cambria" w:cs="Times New Roman"/>
      <w:b/>
      <w:bCs/>
      <w:kern w:val="28"/>
      <w:sz w:val="32"/>
      <w:szCs w:val="32"/>
    </w:rPr>
  </w:style>
  <w:style w:type="character" w:customStyle="1" w:styleId="32">
    <w:name w:val="正文文本缩进 2 字符"/>
    <w:link w:val="9"/>
    <w:qFormat/>
    <w:uiPriority w:val="0"/>
    <w:rPr>
      <w:rFonts w:ascii="宋体" w:hAnsi="Times New Roman"/>
      <w:kern w:val="2"/>
      <w:sz w:val="28"/>
    </w:rPr>
  </w:style>
  <w:style w:type="character" w:customStyle="1" w:styleId="33">
    <w:name w:val="正文文本缩进 3 字符"/>
    <w:link w:val="15"/>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rPr>
  </w:style>
  <w:style w:type="character" w:customStyle="1" w:styleId="38">
    <w:name w:val="列表段落 字符"/>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Default Char"/>
    <w:link w:val="29"/>
    <w:qFormat/>
    <w:locked/>
    <w:uiPriority w:val="0"/>
    <w:rPr>
      <w:rFonts w:ascii="......." w:hAnsi="......." w:eastAsia="......." w:cs="......."/>
      <w:color w:val="000000"/>
      <w:sz w:val="24"/>
      <w:szCs w:val="24"/>
    </w:rPr>
  </w:style>
  <w:style w:type="character" w:customStyle="1" w:styleId="72">
    <w:name w:val="NormalCharacter"/>
    <w:qFormat/>
    <w:uiPriority w:val="0"/>
  </w:style>
  <w:style w:type="character" w:customStyle="1" w:styleId="73">
    <w:name w:val="正文文本 字符"/>
    <w:basedOn w:val="19"/>
    <w:link w:val="6"/>
    <w:qFormat/>
    <w:uiPriority w:val="99"/>
    <w:rPr>
      <w:rFonts w:ascii="Times New Roman" w:hAnsi="Times New Roman"/>
      <w:kern w:val="2"/>
      <w:sz w:val="21"/>
    </w:rPr>
  </w:style>
  <w:style w:type="character" w:customStyle="1" w:styleId="74">
    <w:name w:val="正文文本缩进 字符"/>
    <w:basedOn w:val="19"/>
    <w:link w:val="7"/>
    <w:semiHidden/>
    <w:qFormat/>
    <w:uiPriority w:val="99"/>
    <w:rPr>
      <w:rFonts w:ascii="Times New Roman" w:hAnsi="Times New Roman"/>
      <w:kern w:val="2"/>
      <w:sz w:val="21"/>
    </w:rPr>
  </w:style>
  <w:style w:type="character" w:customStyle="1" w:styleId="75">
    <w:name w:val="标题 2 字符"/>
    <w:basedOn w:val="19"/>
    <w:link w:val="2"/>
    <w:semiHidden/>
    <w:qFormat/>
    <w:uiPriority w:val="9"/>
    <w:rPr>
      <w:rFonts w:asciiTheme="majorHAnsi" w:hAnsiTheme="majorHAnsi" w:eastAsiaTheme="majorEastAsia" w:cstheme="majorBidi"/>
      <w:b/>
      <w:bCs/>
      <w:kern w:val="2"/>
      <w:sz w:val="32"/>
      <w:szCs w:val="32"/>
    </w:rPr>
  </w:style>
  <w:style w:type="character" w:customStyle="1" w:styleId="76">
    <w:name w:val="纯文本 字符"/>
    <w:basedOn w:val="19"/>
    <w:link w:val="8"/>
    <w:semiHidden/>
    <w:qFormat/>
    <w:uiPriority w:val="0"/>
    <w:rPr>
      <w:rFonts w:ascii="宋体" w:hAnsi="Courier New" w:cs="Courier New"/>
      <w:kern w:val="2"/>
      <w:sz w:val="21"/>
      <w:szCs w:val="21"/>
    </w:rPr>
  </w:style>
  <w:style w:type="paragraph" w:customStyle="1" w:styleId="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B5074-FE43-45B0-845B-A6E40F2DBB70}">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43681</Words>
  <Characters>46678</Characters>
  <Lines>379</Lines>
  <Paragraphs>106</Paragraphs>
  <TotalTime>29</TotalTime>
  <ScaleCrop>false</ScaleCrop>
  <LinksUpToDate>false</LinksUpToDate>
  <CharactersWithSpaces>50483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2024-06-13T08:17:00Z</dcterms:created>
  <dc:creator>未定义</dc:creator>
  <cp:lastModifiedBy>WPS_1636026673</cp:lastModifiedBy>
  <cp:lastPrinted>2015-08-04T03:01:00Z</cp:lastPrinted>
  <dcterms:modified xsi:type="dcterms:W3CDTF">2024-07-26T09:11:07Z</dcterms:modified>
  <dc:title>2015年天津市政府债券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1E2B8F8A8BA24377890F8E9BAEDEC3D7_12</vt:lpwstr>
  </property>
</Properties>
</file>